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FAB" w:rsidRPr="00B52595" w:rsidRDefault="00AC0FAB" w:rsidP="00AC0FAB">
      <w:pPr>
        <w:pStyle w:val="Hlavika"/>
        <w:jc w:val="right"/>
        <w:rPr>
          <w:rFonts w:ascii="Times New Roman" w:hAnsi="Times New Roman"/>
        </w:rPr>
      </w:pPr>
      <w:bookmarkStart w:id="0" w:name="_GoBack"/>
      <w:bookmarkEnd w:id="0"/>
      <w:r w:rsidRPr="00B52595">
        <w:rPr>
          <w:rFonts w:ascii="Times New Roman" w:hAnsi="Times New Roman"/>
        </w:rPr>
        <w:t xml:space="preserve">Príloha č. </w:t>
      </w:r>
      <w:r w:rsidR="001C146B" w:rsidRPr="00B52595">
        <w:rPr>
          <w:rFonts w:ascii="Times New Roman" w:hAnsi="Times New Roman"/>
        </w:rPr>
        <w:t>4</w:t>
      </w:r>
      <w:r w:rsidRPr="00B52595">
        <w:rPr>
          <w:rFonts w:ascii="Times New Roman" w:hAnsi="Times New Roman"/>
        </w:rPr>
        <w:t xml:space="preserve"> výzvy OP ĽZ DOP 201</w:t>
      </w:r>
      <w:r w:rsidR="00B27640">
        <w:rPr>
          <w:rFonts w:ascii="Times New Roman" w:hAnsi="Times New Roman"/>
        </w:rPr>
        <w:t>8</w:t>
      </w:r>
      <w:r w:rsidRPr="00B52595">
        <w:rPr>
          <w:rFonts w:ascii="Times New Roman" w:hAnsi="Times New Roman"/>
        </w:rPr>
        <w:t>/</w:t>
      </w:r>
      <w:r w:rsidR="00D255DD" w:rsidRPr="00B52595">
        <w:rPr>
          <w:rFonts w:ascii="Times New Roman" w:hAnsi="Times New Roman"/>
        </w:rPr>
        <w:t>4</w:t>
      </w:r>
      <w:r w:rsidRPr="00B52595">
        <w:rPr>
          <w:rFonts w:ascii="Times New Roman" w:hAnsi="Times New Roman"/>
        </w:rPr>
        <w:t>.1.</w:t>
      </w:r>
      <w:r w:rsidR="00D255DD" w:rsidRPr="00B52595">
        <w:rPr>
          <w:rFonts w:ascii="Times New Roman" w:hAnsi="Times New Roman"/>
        </w:rPr>
        <w:t>2</w:t>
      </w:r>
      <w:r w:rsidRPr="00B52595">
        <w:rPr>
          <w:rFonts w:ascii="Times New Roman" w:hAnsi="Times New Roman"/>
        </w:rPr>
        <w:t>/</w:t>
      </w:r>
      <w:r w:rsidR="003A1C29" w:rsidRPr="00B52595">
        <w:rPr>
          <w:rFonts w:ascii="Times New Roman" w:hAnsi="Times New Roman"/>
        </w:rPr>
        <w:t>0</w:t>
      </w:r>
      <w:r w:rsidR="00B27640">
        <w:rPr>
          <w:rFonts w:ascii="Times New Roman" w:hAnsi="Times New Roman"/>
        </w:rPr>
        <w:t>1</w:t>
      </w:r>
    </w:p>
    <w:p w:rsidR="00AC0FAB" w:rsidRPr="00B52595" w:rsidRDefault="00AC0FAB" w:rsidP="00CB1BD8">
      <w:pPr>
        <w:autoSpaceDE w:val="0"/>
        <w:autoSpaceDN w:val="0"/>
        <w:adjustRightInd w:val="0"/>
        <w:spacing w:after="0" w:line="240" w:lineRule="auto"/>
        <w:jc w:val="center"/>
        <w:rPr>
          <w:rFonts w:ascii="Times New Roman" w:hAnsi="Times New Roman"/>
          <w:b/>
          <w:bCs/>
          <w:sz w:val="28"/>
          <w:szCs w:val="28"/>
          <w:u w:val="single"/>
        </w:rPr>
      </w:pPr>
    </w:p>
    <w:p w:rsidR="00E27BEE" w:rsidRPr="00B52595" w:rsidRDefault="00AC0FAB" w:rsidP="00CB1BD8">
      <w:pPr>
        <w:autoSpaceDE w:val="0"/>
        <w:autoSpaceDN w:val="0"/>
        <w:adjustRightInd w:val="0"/>
        <w:spacing w:after="0" w:line="240" w:lineRule="auto"/>
        <w:jc w:val="center"/>
        <w:rPr>
          <w:rFonts w:ascii="Times New Roman" w:hAnsi="Times New Roman"/>
          <w:b/>
          <w:bCs/>
          <w:sz w:val="28"/>
          <w:szCs w:val="28"/>
        </w:rPr>
      </w:pPr>
      <w:r w:rsidRPr="00B52595">
        <w:rPr>
          <w:rFonts w:ascii="Times New Roman" w:hAnsi="Times New Roman"/>
          <w:b/>
          <w:bCs/>
          <w:sz w:val="28"/>
          <w:szCs w:val="28"/>
        </w:rPr>
        <w:t>Zoznam</w:t>
      </w:r>
      <w:r w:rsidR="00E27BEE" w:rsidRPr="00B52595">
        <w:rPr>
          <w:rFonts w:ascii="Times New Roman" w:hAnsi="Times New Roman"/>
          <w:b/>
          <w:bCs/>
          <w:sz w:val="28"/>
          <w:szCs w:val="28"/>
        </w:rPr>
        <w:t xml:space="preserve"> merateľných ukazovateľov</w:t>
      </w:r>
      <w:r w:rsidR="00E70811" w:rsidRPr="00B52595">
        <w:rPr>
          <w:rFonts w:ascii="Times New Roman" w:hAnsi="Times New Roman"/>
          <w:b/>
          <w:bCs/>
          <w:sz w:val="28"/>
          <w:szCs w:val="28"/>
        </w:rPr>
        <w:t xml:space="preserve"> a</w:t>
      </w:r>
      <w:r w:rsidR="00E559E9" w:rsidRPr="00B52595">
        <w:rPr>
          <w:rFonts w:ascii="Times New Roman" w:hAnsi="Times New Roman"/>
          <w:b/>
          <w:bCs/>
          <w:sz w:val="28"/>
          <w:szCs w:val="28"/>
        </w:rPr>
        <w:t> Iných údajov</w:t>
      </w:r>
    </w:p>
    <w:p w:rsidR="006846C5" w:rsidRPr="00B52595" w:rsidRDefault="006846C5" w:rsidP="0029576C">
      <w:pPr>
        <w:autoSpaceDE w:val="0"/>
        <w:autoSpaceDN w:val="0"/>
        <w:adjustRightInd w:val="0"/>
        <w:spacing w:after="0" w:line="240" w:lineRule="auto"/>
        <w:jc w:val="center"/>
        <w:rPr>
          <w:rFonts w:ascii="Times New Roman" w:hAnsi="Times New Roman"/>
          <w:b/>
          <w:bCs/>
          <w:sz w:val="28"/>
          <w:szCs w:val="28"/>
        </w:rPr>
      </w:pPr>
    </w:p>
    <w:p w:rsidR="00C72754" w:rsidRPr="00B52595" w:rsidRDefault="009F6684" w:rsidP="00C72754">
      <w:pPr>
        <w:spacing w:after="0" w:line="240" w:lineRule="auto"/>
        <w:jc w:val="both"/>
        <w:rPr>
          <w:rFonts w:ascii="Times New Roman" w:hAnsi="Times New Roman"/>
          <w:bCs/>
          <w:sz w:val="24"/>
          <w:szCs w:val="24"/>
          <w:lang w:eastAsia="sk-SK"/>
        </w:rPr>
      </w:pPr>
      <w:r w:rsidRPr="00B52595">
        <w:rPr>
          <w:rFonts w:ascii="Times New Roman" w:hAnsi="Times New Roman"/>
          <w:sz w:val="24"/>
          <w:szCs w:val="24"/>
        </w:rPr>
        <w:t>P</w:t>
      </w:r>
      <w:r w:rsidR="00C72754" w:rsidRPr="00B52595">
        <w:rPr>
          <w:rFonts w:ascii="Times New Roman" w:hAnsi="Times New Roman"/>
          <w:bCs/>
          <w:sz w:val="24"/>
          <w:szCs w:val="24"/>
          <w:lang w:eastAsia="sk-SK"/>
        </w:rPr>
        <w:t xml:space="preserve">re žiadateľa/prijímateľa je záväzná kvantifikácia </w:t>
      </w:r>
      <w:r w:rsidR="00C72754" w:rsidRPr="00B52595">
        <w:rPr>
          <w:rFonts w:ascii="Times New Roman" w:hAnsi="Times New Roman"/>
          <w:bCs/>
          <w:sz w:val="24"/>
          <w:szCs w:val="24"/>
          <w:u w:val="single"/>
          <w:lang w:eastAsia="sk-SK"/>
        </w:rPr>
        <w:t>merateľných ukazovateľov</w:t>
      </w:r>
      <w:r w:rsidR="00124B9F" w:rsidRPr="00B52595">
        <w:rPr>
          <w:rFonts w:ascii="Times New Roman" w:hAnsi="Times New Roman"/>
          <w:bCs/>
          <w:sz w:val="24"/>
          <w:szCs w:val="24"/>
          <w:u w:val="single"/>
          <w:lang w:eastAsia="sk-SK"/>
        </w:rPr>
        <w:t xml:space="preserve"> bez príznaku</w:t>
      </w:r>
      <w:r w:rsidR="00C72754" w:rsidRPr="00B52595">
        <w:rPr>
          <w:rFonts w:ascii="Times New Roman" w:hAnsi="Times New Roman"/>
          <w:bCs/>
          <w:sz w:val="24"/>
          <w:szCs w:val="24"/>
          <w:lang w:eastAsia="sk-SK"/>
        </w:rPr>
        <w:t>:</w:t>
      </w:r>
    </w:p>
    <w:p w:rsidR="0029576C" w:rsidRPr="00B52595" w:rsidRDefault="0029576C" w:rsidP="00C72754">
      <w:pPr>
        <w:spacing w:after="0" w:line="240" w:lineRule="auto"/>
        <w:jc w:val="both"/>
        <w:rPr>
          <w:rFonts w:ascii="Times New Roman" w:hAnsi="Times New Roman"/>
          <w:bCs/>
          <w:color w:val="FF0000"/>
          <w:sz w:val="24"/>
          <w:szCs w:val="24"/>
          <w:lang w:eastAsia="sk-S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gridCol w:w="1701"/>
        <w:gridCol w:w="2126"/>
      </w:tblGrid>
      <w:tr w:rsidR="001730E5" w:rsidRPr="00B52595" w:rsidTr="001730E5">
        <w:trPr>
          <w:trHeight w:val="368"/>
        </w:trPr>
        <w:tc>
          <w:tcPr>
            <w:tcW w:w="10031" w:type="dxa"/>
            <w:tcBorders>
              <w:top w:val="single" w:sz="12" w:space="0" w:color="auto"/>
              <w:left w:val="single" w:sz="12" w:space="0" w:color="auto"/>
              <w:right w:val="single" w:sz="12" w:space="0" w:color="auto"/>
            </w:tcBorders>
            <w:shd w:val="clear" w:color="auto" w:fill="E5DFEC"/>
            <w:vAlign w:val="center"/>
          </w:tcPr>
          <w:p w:rsidR="001730E5" w:rsidRPr="00B52595" w:rsidRDefault="001730E5" w:rsidP="00E911BB">
            <w:pPr>
              <w:spacing w:after="0" w:line="240" w:lineRule="auto"/>
              <w:jc w:val="center"/>
              <w:rPr>
                <w:rFonts w:ascii="Times New Roman" w:hAnsi="Times New Roman"/>
                <w:b/>
                <w:bCs/>
                <w:color w:val="000000"/>
                <w:spacing w:val="-4"/>
                <w:sz w:val="24"/>
                <w:szCs w:val="24"/>
                <w:lang w:eastAsia="sk-SK"/>
              </w:rPr>
            </w:pPr>
            <w:r w:rsidRPr="00B52595">
              <w:rPr>
                <w:rFonts w:ascii="Times New Roman" w:hAnsi="Times New Roman"/>
                <w:b/>
                <w:bCs/>
                <w:color w:val="000000"/>
                <w:spacing w:val="-4"/>
                <w:sz w:val="24"/>
                <w:szCs w:val="24"/>
                <w:lang w:eastAsia="sk-SK"/>
              </w:rPr>
              <w:t>Kód ukazovateľa a názov ukazovateľa</w:t>
            </w:r>
          </w:p>
        </w:tc>
        <w:tc>
          <w:tcPr>
            <w:tcW w:w="1701" w:type="dxa"/>
            <w:vMerge w:val="restart"/>
            <w:tcBorders>
              <w:top w:val="single" w:sz="12" w:space="0" w:color="auto"/>
              <w:left w:val="single" w:sz="12" w:space="0" w:color="auto"/>
              <w:bottom w:val="single" w:sz="12" w:space="0" w:color="auto"/>
              <w:right w:val="single" w:sz="12" w:space="0" w:color="auto"/>
            </w:tcBorders>
            <w:shd w:val="clear" w:color="auto" w:fill="E5DFEC"/>
            <w:vAlign w:val="center"/>
          </w:tcPr>
          <w:p w:rsidR="001730E5" w:rsidRPr="00B52595" w:rsidRDefault="001730E5" w:rsidP="00E911BB">
            <w:pPr>
              <w:spacing w:after="0" w:line="240" w:lineRule="auto"/>
              <w:jc w:val="center"/>
              <w:rPr>
                <w:rFonts w:ascii="Times New Roman" w:hAnsi="Times New Roman"/>
                <w:b/>
                <w:bCs/>
                <w:color w:val="000000"/>
                <w:spacing w:val="-4"/>
                <w:sz w:val="24"/>
                <w:szCs w:val="24"/>
                <w:lang w:eastAsia="sk-SK"/>
              </w:rPr>
            </w:pPr>
            <w:r w:rsidRPr="00B52595">
              <w:rPr>
                <w:rFonts w:ascii="Times New Roman" w:hAnsi="Times New Roman"/>
                <w:b/>
                <w:bCs/>
                <w:color w:val="000000"/>
                <w:spacing w:val="-4"/>
                <w:sz w:val="24"/>
                <w:szCs w:val="24"/>
                <w:lang w:eastAsia="sk-SK"/>
              </w:rPr>
              <w:t>Merná jednotka</w:t>
            </w:r>
          </w:p>
        </w:tc>
        <w:tc>
          <w:tcPr>
            <w:tcW w:w="2126" w:type="dxa"/>
            <w:vMerge w:val="restart"/>
            <w:tcBorders>
              <w:top w:val="single" w:sz="12" w:space="0" w:color="auto"/>
              <w:left w:val="single" w:sz="12" w:space="0" w:color="auto"/>
              <w:right w:val="single" w:sz="12" w:space="0" w:color="auto"/>
            </w:tcBorders>
            <w:shd w:val="clear" w:color="auto" w:fill="E5DFEC"/>
            <w:vAlign w:val="center"/>
          </w:tcPr>
          <w:p w:rsidR="001730E5" w:rsidRPr="00B52595" w:rsidRDefault="001730E5" w:rsidP="0088060A">
            <w:pPr>
              <w:spacing w:after="0" w:line="240" w:lineRule="auto"/>
              <w:jc w:val="center"/>
              <w:rPr>
                <w:rFonts w:ascii="Times New Roman" w:hAnsi="Times New Roman"/>
                <w:b/>
                <w:color w:val="000000"/>
                <w:sz w:val="24"/>
                <w:szCs w:val="24"/>
                <w:lang w:eastAsia="sk-SK"/>
              </w:rPr>
            </w:pPr>
            <w:r w:rsidRPr="00B52595">
              <w:rPr>
                <w:rFonts w:ascii="Times New Roman" w:hAnsi="Times New Roman"/>
                <w:b/>
                <w:color w:val="000000"/>
                <w:sz w:val="24"/>
                <w:szCs w:val="24"/>
                <w:lang w:eastAsia="sk-SK"/>
              </w:rPr>
              <w:t xml:space="preserve">Sledovanie v rámci aktivity </w:t>
            </w:r>
          </w:p>
        </w:tc>
      </w:tr>
      <w:tr w:rsidR="001730E5" w:rsidRPr="00B52595" w:rsidTr="001730E5">
        <w:trPr>
          <w:trHeight w:val="367"/>
        </w:trPr>
        <w:tc>
          <w:tcPr>
            <w:tcW w:w="10031" w:type="dxa"/>
            <w:tcBorders>
              <w:left w:val="single" w:sz="12" w:space="0" w:color="auto"/>
              <w:bottom w:val="single" w:sz="12" w:space="0" w:color="auto"/>
              <w:right w:val="single" w:sz="12" w:space="0" w:color="auto"/>
            </w:tcBorders>
            <w:shd w:val="clear" w:color="auto" w:fill="E5DFEC"/>
            <w:vAlign w:val="center"/>
          </w:tcPr>
          <w:p w:rsidR="001730E5" w:rsidRPr="00B52595" w:rsidRDefault="001730E5" w:rsidP="00E911BB">
            <w:pPr>
              <w:spacing w:after="0" w:line="240" w:lineRule="auto"/>
              <w:jc w:val="center"/>
              <w:rPr>
                <w:rFonts w:ascii="Times New Roman" w:hAnsi="Times New Roman"/>
                <w:b/>
                <w:bCs/>
                <w:color w:val="000000"/>
                <w:spacing w:val="-4"/>
                <w:sz w:val="24"/>
                <w:szCs w:val="24"/>
                <w:lang w:eastAsia="sk-SK"/>
              </w:rPr>
            </w:pPr>
            <w:r w:rsidRPr="00B52595">
              <w:rPr>
                <w:rFonts w:ascii="Times New Roman" w:hAnsi="Times New Roman"/>
                <w:b/>
                <w:bCs/>
                <w:color w:val="000000"/>
                <w:spacing w:val="-4"/>
                <w:sz w:val="24"/>
                <w:szCs w:val="24"/>
                <w:lang w:eastAsia="sk-SK"/>
              </w:rPr>
              <w:t>Definícia</w:t>
            </w:r>
          </w:p>
        </w:tc>
        <w:tc>
          <w:tcPr>
            <w:tcW w:w="1701" w:type="dxa"/>
            <w:vMerge/>
            <w:tcBorders>
              <w:left w:val="single" w:sz="12" w:space="0" w:color="auto"/>
              <w:bottom w:val="single" w:sz="12" w:space="0" w:color="auto"/>
              <w:right w:val="single" w:sz="12" w:space="0" w:color="auto"/>
            </w:tcBorders>
            <w:shd w:val="clear" w:color="auto" w:fill="E5DFEC"/>
            <w:vAlign w:val="center"/>
          </w:tcPr>
          <w:p w:rsidR="001730E5" w:rsidRPr="00B52595" w:rsidRDefault="001730E5" w:rsidP="00E911BB">
            <w:pPr>
              <w:spacing w:after="0" w:line="240" w:lineRule="auto"/>
              <w:jc w:val="center"/>
              <w:rPr>
                <w:rFonts w:ascii="Times New Roman" w:hAnsi="Times New Roman"/>
                <w:b/>
                <w:bCs/>
                <w:color w:val="000000"/>
                <w:spacing w:val="-4"/>
                <w:sz w:val="24"/>
                <w:szCs w:val="24"/>
                <w:lang w:eastAsia="sk-SK"/>
              </w:rPr>
            </w:pPr>
          </w:p>
        </w:tc>
        <w:tc>
          <w:tcPr>
            <w:tcW w:w="2126" w:type="dxa"/>
            <w:vMerge/>
            <w:tcBorders>
              <w:left w:val="single" w:sz="12" w:space="0" w:color="auto"/>
              <w:bottom w:val="single" w:sz="12" w:space="0" w:color="auto"/>
              <w:right w:val="single" w:sz="12" w:space="0" w:color="auto"/>
            </w:tcBorders>
            <w:shd w:val="clear" w:color="auto" w:fill="E5DFEC"/>
          </w:tcPr>
          <w:p w:rsidR="001730E5" w:rsidRPr="00B52595" w:rsidRDefault="001730E5" w:rsidP="00E911BB">
            <w:pPr>
              <w:spacing w:after="0" w:line="240" w:lineRule="auto"/>
              <w:jc w:val="center"/>
              <w:rPr>
                <w:rFonts w:ascii="Times New Roman" w:hAnsi="Times New Roman"/>
                <w:b/>
                <w:color w:val="000000"/>
                <w:sz w:val="24"/>
                <w:szCs w:val="24"/>
                <w:lang w:eastAsia="sk-SK"/>
              </w:rPr>
            </w:pPr>
          </w:p>
        </w:tc>
      </w:tr>
      <w:tr w:rsidR="001730E5" w:rsidRPr="00B52595" w:rsidTr="001730E5">
        <w:trPr>
          <w:trHeight w:val="57"/>
        </w:trPr>
        <w:tc>
          <w:tcPr>
            <w:tcW w:w="10031" w:type="dxa"/>
            <w:tcBorders>
              <w:top w:val="single" w:sz="12" w:space="0" w:color="auto"/>
              <w:left w:val="single" w:sz="12" w:space="0" w:color="auto"/>
              <w:right w:val="single" w:sz="12" w:space="0" w:color="auto"/>
            </w:tcBorders>
          </w:tcPr>
          <w:p w:rsidR="001730E5" w:rsidRPr="00B52595" w:rsidRDefault="001730E5" w:rsidP="00003429">
            <w:pPr>
              <w:spacing w:after="0" w:line="240" w:lineRule="auto"/>
              <w:rPr>
                <w:rFonts w:ascii="Times New Roman" w:hAnsi="Times New Roman"/>
                <w:b/>
                <w:bCs/>
                <w:color w:val="000000"/>
                <w:sz w:val="24"/>
                <w:szCs w:val="24"/>
                <w:lang w:eastAsia="sk-SK"/>
              </w:rPr>
            </w:pPr>
            <w:r w:rsidRPr="00B52595">
              <w:rPr>
                <w:rFonts w:ascii="Times New Roman" w:hAnsi="Times New Roman"/>
                <w:b/>
                <w:bCs/>
                <w:color w:val="000000"/>
                <w:sz w:val="24"/>
                <w:szCs w:val="24"/>
                <w:lang w:eastAsia="sk-SK"/>
              </w:rPr>
              <w:t>P0551 Počet zamestnávateľov/inštitúcií, ktoré po ukončení projektu poskytujú vzdelávanie/poradenstvo alebo realizujú opatrenia v oblasti prevencie a eliminácie diskriminácie:</w:t>
            </w:r>
          </w:p>
          <w:p w:rsidR="001730E5" w:rsidRPr="00B52595" w:rsidRDefault="001730E5" w:rsidP="00631759">
            <w:pPr>
              <w:spacing w:after="0" w:line="240" w:lineRule="auto"/>
              <w:rPr>
                <w:rFonts w:ascii="Times New Roman" w:hAnsi="Times New Roman"/>
                <w:b/>
                <w:bCs/>
                <w:color w:val="000000"/>
                <w:sz w:val="24"/>
                <w:szCs w:val="24"/>
                <w:lang w:eastAsia="sk-SK"/>
              </w:rPr>
            </w:pPr>
            <w:r w:rsidRPr="00B52595">
              <w:rPr>
                <w:rFonts w:ascii="Times New Roman" w:hAnsi="Times New Roman"/>
                <w:bCs/>
                <w:color w:val="000000"/>
                <w:sz w:val="24"/>
                <w:szCs w:val="24"/>
                <w:lang w:eastAsia="sk-SK"/>
              </w:rPr>
              <w:t xml:space="preserve">Za poradenstvo v oblasti prevencie a eliminácie diskriminácie sa považuje právne poradenstvo v zmysle Antidiskriminačného zákona a súvisiacich zákonov, ako aj sociálne poradenstvo zamerané na sociálnu inklúziu obetí diskriminácie a násilia, najmä násilia na ženách. </w:t>
            </w:r>
          </w:p>
        </w:tc>
        <w:tc>
          <w:tcPr>
            <w:tcW w:w="1701" w:type="dxa"/>
            <w:tcBorders>
              <w:top w:val="single" w:sz="12" w:space="0" w:color="auto"/>
              <w:left w:val="single" w:sz="12" w:space="0" w:color="auto"/>
            </w:tcBorders>
            <w:vAlign w:val="center"/>
          </w:tcPr>
          <w:p w:rsidR="001730E5" w:rsidRPr="00B52595" w:rsidRDefault="001730E5" w:rsidP="00E911BB">
            <w:pPr>
              <w:spacing w:after="0" w:line="240" w:lineRule="auto"/>
              <w:jc w:val="center"/>
              <w:rPr>
                <w:rFonts w:ascii="Times New Roman" w:hAnsi="Times New Roman"/>
                <w:sz w:val="24"/>
                <w:szCs w:val="24"/>
              </w:rPr>
            </w:pPr>
            <w:r w:rsidRPr="00B52595">
              <w:rPr>
                <w:rFonts w:ascii="Times New Roman" w:hAnsi="Times New Roman"/>
                <w:color w:val="000000"/>
                <w:sz w:val="24"/>
                <w:szCs w:val="24"/>
                <w:lang w:eastAsia="sk-SK"/>
              </w:rPr>
              <w:t>počet</w:t>
            </w:r>
          </w:p>
        </w:tc>
        <w:tc>
          <w:tcPr>
            <w:tcW w:w="2126" w:type="dxa"/>
            <w:tcBorders>
              <w:top w:val="single" w:sz="12" w:space="0" w:color="auto"/>
            </w:tcBorders>
            <w:vAlign w:val="center"/>
          </w:tcPr>
          <w:p w:rsidR="001730E5" w:rsidRPr="00B52595" w:rsidRDefault="001730E5" w:rsidP="00525A17">
            <w:pPr>
              <w:spacing w:after="0" w:line="240" w:lineRule="auto"/>
              <w:jc w:val="center"/>
              <w:rPr>
                <w:rFonts w:ascii="Times New Roman" w:hAnsi="Times New Roman"/>
                <w:color w:val="000000"/>
                <w:sz w:val="24"/>
                <w:szCs w:val="24"/>
                <w:lang w:eastAsia="sk-SK"/>
              </w:rPr>
            </w:pPr>
            <w:r w:rsidRPr="00B52595">
              <w:rPr>
                <w:rFonts w:ascii="Times New Roman" w:hAnsi="Times New Roman"/>
                <w:color w:val="000000"/>
                <w:sz w:val="24"/>
                <w:szCs w:val="24"/>
                <w:lang w:eastAsia="sk-SK"/>
              </w:rPr>
              <w:t>1, 2, 3, 4, 5, 6, 7</w:t>
            </w:r>
          </w:p>
        </w:tc>
      </w:tr>
      <w:tr w:rsidR="001730E5" w:rsidRPr="00B52595" w:rsidTr="001730E5">
        <w:tc>
          <w:tcPr>
            <w:tcW w:w="10031" w:type="dxa"/>
            <w:tcBorders>
              <w:left w:val="single" w:sz="12" w:space="0" w:color="auto"/>
              <w:right w:val="single" w:sz="12" w:space="0" w:color="auto"/>
            </w:tcBorders>
          </w:tcPr>
          <w:p w:rsidR="001730E5" w:rsidRPr="00B52595" w:rsidRDefault="001730E5" w:rsidP="00003429">
            <w:pPr>
              <w:spacing w:after="0" w:line="240" w:lineRule="auto"/>
              <w:rPr>
                <w:rFonts w:ascii="Times New Roman" w:hAnsi="Times New Roman"/>
                <w:b/>
                <w:bCs/>
                <w:color w:val="000000"/>
                <w:sz w:val="24"/>
                <w:szCs w:val="24"/>
                <w:lang w:eastAsia="sk-SK"/>
              </w:rPr>
            </w:pPr>
            <w:r w:rsidRPr="00B52595">
              <w:rPr>
                <w:rFonts w:ascii="Times New Roman" w:hAnsi="Times New Roman"/>
                <w:b/>
                <w:bCs/>
                <w:color w:val="000000"/>
                <w:sz w:val="24"/>
                <w:szCs w:val="24"/>
                <w:lang w:eastAsia="sk-SK"/>
              </w:rPr>
              <w:t xml:space="preserve">P0440  Počet účastníkov ohrozených diskrimináciou zapojených do vzdelávania alebo využívajúcich poradenstvo v oblasti prevencie a eliminácie diskriminácie: </w:t>
            </w:r>
          </w:p>
          <w:p w:rsidR="001730E5" w:rsidRPr="00B52595" w:rsidRDefault="001730E5" w:rsidP="00631759">
            <w:pPr>
              <w:spacing w:after="0" w:line="240" w:lineRule="auto"/>
              <w:rPr>
                <w:rFonts w:ascii="Times New Roman" w:hAnsi="Times New Roman"/>
                <w:b/>
                <w:bCs/>
                <w:color w:val="000000"/>
                <w:sz w:val="24"/>
                <w:szCs w:val="24"/>
                <w:lang w:eastAsia="sk-SK"/>
              </w:rPr>
            </w:pPr>
            <w:r w:rsidRPr="00B52595">
              <w:rPr>
                <w:rFonts w:ascii="Times New Roman" w:hAnsi="Times New Roman"/>
                <w:bCs/>
                <w:color w:val="000000"/>
                <w:sz w:val="24"/>
                <w:szCs w:val="24"/>
                <w:lang w:eastAsia="sk-SK"/>
              </w:rPr>
              <w:t>Počet účastníkov aktivít projektov, ktorým bolo poskytnuté právne alebo sociálne poradenstvo v súvislosti s prevenciou a elimináciou diskriminácie alebo boli zapojení do vzdelávacích a osvetových aktivít v rámci OP ĽZ.</w:t>
            </w:r>
            <w:r w:rsidRPr="00B52595">
              <w:rPr>
                <w:rFonts w:ascii="Times New Roman" w:hAnsi="Times New Roman"/>
                <w:b/>
                <w:bCs/>
                <w:color w:val="000000"/>
                <w:sz w:val="24"/>
                <w:szCs w:val="24"/>
                <w:lang w:eastAsia="sk-SK"/>
              </w:rPr>
              <w:t xml:space="preserve"> </w:t>
            </w:r>
          </w:p>
        </w:tc>
        <w:tc>
          <w:tcPr>
            <w:tcW w:w="1701" w:type="dxa"/>
            <w:tcBorders>
              <w:left w:val="single" w:sz="12" w:space="0" w:color="auto"/>
            </w:tcBorders>
            <w:vAlign w:val="center"/>
          </w:tcPr>
          <w:p w:rsidR="001730E5" w:rsidRPr="00B52595" w:rsidRDefault="001730E5" w:rsidP="00E911BB">
            <w:pPr>
              <w:spacing w:after="0" w:line="240" w:lineRule="auto"/>
              <w:jc w:val="center"/>
              <w:rPr>
                <w:rFonts w:ascii="Times New Roman" w:hAnsi="Times New Roman"/>
                <w:color w:val="000000"/>
                <w:sz w:val="24"/>
                <w:szCs w:val="24"/>
                <w:lang w:eastAsia="sk-SK"/>
              </w:rPr>
            </w:pPr>
            <w:r w:rsidRPr="00B52595">
              <w:rPr>
                <w:rFonts w:ascii="Times New Roman" w:hAnsi="Times New Roman"/>
                <w:color w:val="000000"/>
                <w:sz w:val="24"/>
                <w:szCs w:val="24"/>
                <w:lang w:eastAsia="sk-SK"/>
              </w:rPr>
              <w:t>počet</w:t>
            </w:r>
          </w:p>
        </w:tc>
        <w:tc>
          <w:tcPr>
            <w:tcW w:w="2126" w:type="dxa"/>
            <w:vAlign w:val="center"/>
          </w:tcPr>
          <w:p w:rsidR="001730E5" w:rsidRPr="00B52595" w:rsidRDefault="001730E5" w:rsidP="002B14B8">
            <w:pPr>
              <w:spacing w:after="0" w:line="240" w:lineRule="auto"/>
              <w:jc w:val="center"/>
              <w:rPr>
                <w:rFonts w:ascii="Times New Roman" w:hAnsi="Times New Roman"/>
                <w:color w:val="000000"/>
                <w:sz w:val="24"/>
                <w:szCs w:val="24"/>
                <w:lang w:eastAsia="sk-SK"/>
              </w:rPr>
            </w:pPr>
            <w:r w:rsidRPr="00B52595">
              <w:rPr>
                <w:rFonts w:ascii="Times New Roman" w:hAnsi="Times New Roman"/>
                <w:color w:val="000000"/>
                <w:sz w:val="24"/>
                <w:szCs w:val="24"/>
                <w:lang w:eastAsia="sk-SK"/>
              </w:rPr>
              <w:t>1, 2, 3</w:t>
            </w:r>
          </w:p>
        </w:tc>
      </w:tr>
      <w:tr w:rsidR="001730E5" w:rsidRPr="00B52595" w:rsidTr="001730E5">
        <w:tc>
          <w:tcPr>
            <w:tcW w:w="10031" w:type="dxa"/>
            <w:tcBorders>
              <w:left w:val="single" w:sz="12" w:space="0" w:color="auto"/>
              <w:right w:val="single" w:sz="12" w:space="0" w:color="auto"/>
            </w:tcBorders>
          </w:tcPr>
          <w:p w:rsidR="001730E5" w:rsidRPr="00B52595" w:rsidRDefault="001730E5" w:rsidP="00003429">
            <w:pPr>
              <w:spacing w:after="0" w:line="240" w:lineRule="auto"/>
              <w:rPr>
                <w:rFonts w:ascii="Times New Roman" w:hAnsi="Times New Roman"/>
                <w:b/>
                <w:bCs/>
                <w:color w:val="000000"/>
                <w:sz w:val="24"/>
                <w:szCs w:val="24"/>
                <w:lang w:eastAsia="sk-SK"/>
              </w:rPr>
            </w:pPr>
            <w:r w:rsidRPr="00B52595">
              <w:rPr>
                <w:rFonts w:ascii="Times New Roman" w:hAnsi="Times New Roman"/>
                <w:b/>
                <w:bCs/>
                <w:color w:val="000000"/>
                <w:sz w:val="24"/>
                <w:szCs w:val="24"/>
                <w:lang w:eastAsia="sk-SK"/>
              </w:rPr>
              <w:t>P0743 Počet zamestnancov, ktorí využívajú výsledky projektu</w:t>
            </w:r>
          </w:p>
          <w:p w:rsidR="001730E5" w:rsidRPr="00B52595" w:rsidRDefault="001730E5" w:rsidP="00003429">
            <w:pPr>
              <w:spacing w:after="0" w:line="240" w:lineRule="auto"/>
              <w:rPr>
                <w:rFonts w:ascii="Times New Roman" w:hAnsi="Times New Roman"/>
                <w:bCs/>
                <w:color w:val="000000"/>
                <w:sz w:val="24"/>
                <w:szCs w:val="24"/>
                <w:lang w:eastAsia="sk-SK"/>
              </w:rPr>
            </w:pPr>
            <w:r w:rsidRPr="00B52595">
              <w:rPr>
                <w:rFonts w:ascii="Times New Roman" w:hAnsi="Times New Roman"/>
                <w:bCs/>
                <w:color w:val="000000"/>
                <w:sz w:val="24"/>
                <w:szCs w:val="24"/>
                <w:lang w:eastAsia="sk-SK"/>
              </w:rPr>
              <w:t>Počet zamestnancov, ktorí po ukončení projektu resp. zrealizovaní aktivít projektu využívajú výstupy projektu k oprávnenej činnosti</w:t>
            </w:r>
          </w:p>
        </w:tc>
        <w:tc>
          <w:tcPr>
            <w:tcW w:w="1701" w:type="dxa"/>
            <w:tcBorders>
              <w:left w:val="single" w:sz="12" w:space="0" w:color="auto"/>
            </w:tcBorders>
            <w:vAlign w:val="center"/>
          </w:tcPr>
          <w:p w:rsidR="001730E5" w:rsidRPr="00B52595" w:rsidRDefault="001730E5" w:rsidP="00E911BB">
            <w:pPr>
              <w:spacing w:after="0" w:line="240" w:lineRule="auto"/>
              <w:jc w:val="center"/>
              <w:rPr>
                <w:rFonts w:ascii="Times New Roman" w:hAnsi="Times New Roman"/>
                <w:color w:val="000000"/>
                <w:sz w:val="24"/>
                <w:szCs w:val="24"/>
                <w:lang w:eastAsia="sk-SK"/>
              </w:rPr>
            </w:pPr>
            <w:r w:rsidRPr="00B52595">
              <w:rPr>
                <w:rFonts w:ascii="Times New Roman" w:hAnsi="Times New Roman"/>
                <w:color w:val="000000"/>
                <w:sz w:val="24"/>
                <w:szCs w:val="24"/>
                <w:lang w:eastAsia="sk-SK"/>
              </w:rPr>
              <w:t>počet</w:t>
            </w:r>
          </w:p>
        </w:tc>
        <w:tc>
          <w:tcPr>
            <w:tcW w:w="2126" w:type="dxa"/>
            <w:vAlign w:val="center"/>
          </w:tcPr>
          <w:p w:rsidR="001730E5" w:rsidRPr="00B52595" w:rsidRDefault="001730E5" w:rsidP="002B14B8">
            <w:pPr>
              <w:spacing w:after="0" w:line="240" w:lineRule="auto"/>
              <w:jc w:val="center"/>
              <w:rPr>
                <w:rFonts w:ascii="Times New Roman" w:hAnsi="Times New Roman"/>
                <w:color w:val="000000"/>
                <w:sz w:val="24"/>
                <w:szCs w:val="24"/>
                <w:lang w:eastAsia="sk-SK"/>
              </w:rPr>
            </w:pPr>
            <w:r w:rsidRPr="00B52595">
              <w:rPr>
                <w:rFonts w:ascii="Times New Roman" w:hAnsi="Times New Roman"/>
                <w:color w:val="000000"/>
                <w:sz w:val="24"/>
                <w:szCs w:val="24"/>
                <w:lang w:eastAsia="sk-SK"/>
              </w:rPr>
              <w:t>4, 5, 6, 7</w:t>
            </w:r>
          </w:p>
        </w:tc>
      </w:tr>
    </w:tbl>
    <w:p w:rsidR="00C72754" w:rsidRPr="00B52595" w:rsidRDefault="00C72754" w:rsidP="0029576C">
      <w:pPr>
        <w:spacing w:after="0" w:line="240" w:lineRule="auto"/>
        <w:jc w:val="both"/>
        <w:rPr>
          <w:rFonts w:ascii="Times New Roman" w:hAnsi="Times New Roman"/>
          <w:bCs/>
          <w:sz w:val="24"/>
          <w:szCs w:val="24"/>
          <w:lang w:eastAsia="sk-SK"/>
        </w:rPr>
      </w:pPr>
    </w:p>
    <w:p w:rsidR="001730E5" w:rsidRPr="00B52595" w:rsidRDefault="001730E5" w:rsidP="0029576C">
      <w:pPr>
        <w:spacing w:after="0" w:line="240" w:lineRule="auto"/>
        <w:jc w:val="both"/>
        <w:rPr>
          <w:rFonts w:ascii="Times New Roman" w:hAnsi="Times New Roman"/>
          <w:bCs/>
          <w:sz w:val="24"/>
          <w:szCs w:val="24"/>
          <w:lang w:eastAsia="sk-SK"/>
        </w:rPr>
      </w:pPr>
    </w:p>
    <w:p w:rsidR="001730E5" w:rsidRPr="00B52595" w:rsidRDefault="001730E5" w:rsidP="0029576C">
      <w:pPr>
        <w:spacing w:after="0" w:line="240" w:lineRule="auto"/>
        <w:jc w:val="both"/>
        <w:rPr>
          <w:rFonts w:ascii="Times New Roman" w:hAnsi="Times New Roman"/>
          <w:bCs/>
          <w:sz w:val="24"/>
          <w:szCs w:val="24"/>
          <w:lang w:eastAsia="sk-SK"/>
        </w:rPr>
      </w:pPr>
    </w:p>
    <w:p w:rsidR="00E559E9" w:rsidRPr="00B52595" w:rsidRDefault="00E559E9" w:rsidP="0029576C">
      <w:pPr>
        <w:spacing w:after="0" w:line="240" w:lineRule="auto"/>
        <w:jc w:val="both"/>
        <w:rPr>
          <w:rFonts w:ascii="Times New Roman" w:hAnsi="Times New Roman"/>
          <w:bCs/>
          <w:sz w:val="24"/>
          <w:szCs w:val="24"/>
          <w:lang w:eastAsia="sk-SK"/>
        </w:rPr>
      </w:pPr>
    </w:p>
    <w:p w:rsidR="001730E5" w:rsidRPr="00B52595" w:rsidRDefault="001730E5" w:rsidP="0029576C">
      <w:pPr>
        <w:spacing w:after="0" w:line="240" w:lineRule="auto"/>
        <w:jc w:val="both"/>
        <w:rPr>
          <w:rFonts w:ascii="Times New Roman" w:hAnsi="Times New Roman"/>
          <w:bCs/>
          <w:sz w:val="24"/>
          <w:szCs w:val="24"/>
          <w:lang w:eastAsia="sk-SK"/>
        </w:rPr>
      </w:pPr>
    </w:p>
    <w:p w:rsidR="001730E5" w:rsidRPr="00B52595" w:rsidRDefault="001730E5" w:rsidP="001730E5">
      <w:pPr>
        <w:pStyle w:val="Zkladntext"/>
        <w:spacing w:before="120" w:after="120"/>
        <w:rPr>
          <w:sz w:val="24"/>
          <w:lang w:val="sk-SK"/>
        </w:rPr>
      </w:pPr>
      <w:r w:rsidRPr="00B52595">
        <w:rPr>
          <w:b/>
          <w:sz w:val="24"/>
          <w:lang w:val="sk-SK"/>
        </w:rPr>
        <w:lastRenderedPageBreak/>
        <w:t>Iné údaje</w:t>
      </w:r>
      <w:r w:rsidRPr="00B52595">
        <w:rPr>
          <w:sz w:val="24"/>
          <w:lang w:val="sk-SK"/>
        </w:rPr>
        <w:t xml:space="preserve"> sú ďalšie údaje, resp. parametre (iné ako MU) monitorované </w:t>
      </w:r>
      <w:r w:rsidRPr="00B52595">
        <w:rPr>
          <w:sz w:val="24"/>
          <w:u w:val="single"/>
          <w:lang w:val="sk-SK"/>
        </w:rPr>
        <w:t>na úrovni podporených projektov</w:t>
      </w:r>
      <w:r w:rsidRPr="00B52595">
        <w:rPr>
          <w:sz w:val="24"/>
          <w:lang w:val="sk-SK"/>
        </w:rPr>
        <w:t xml:space="preserve"> a to v prípade, ak pre potreby monitorovania na úrovni OP potrebuje RO štatistické údaje z jednotlivých projektov. Zo strany prijímateľa nie je potrebné vopred stanovovať ich cieľovú hodnotu, resp. táto hodnota nebude pre prijímateľa záväzná. </w:t>
      </w:r>
    </w:p>
    <w:p w:rsidR="001730E5" w:rsidRPr="00B52595" w:rsidRDefault="001730E5" w:rsidP="0029576C">
      <w:pPr>
        <w:spacing w:after="0" w:line="240" w:lineRule="auto"/>
        <w:jc w:val="both"/>
        <w:rPr>
          <w:rFonts w:ascii="Times New Roman" w:hAnsi="Times New Roman"/>
          <w:bCs/>
          <w:sz w:val="24"/>
          <w:szCs w:val="24"/>
          <w:lang w:eastAsia="sk-SK"/>
        </w:rPr>
      </w:pP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15"/>
        <w:gridCol w:w="1843"/>
      </w:tblGrid>
      <w:tr w:rsidR="00E94EBA" w:rsidRPr="00B52595" w:rsidTr="00E559E9">
        <w:trPr>
          <w:trHeight w:val="368"/>
        </w:trPr>
        <w:tc>
          <w:tcPr>
            <w:tcW w:w="12015" w:type="dxa"/>
            <w:tcBorders>
              <w:top w:val="single" w:sz="12" w:space="0" w:color="auto"/>
              <w:left w:val="single" w:sz="12" w:space="0" w:color="auto"/>
              <w:right w:val="single" w:sz="12" w:space="0" w:color="auto"/>
            </w:tcBorders>
            <w:shd w:val="clear" w:color="auto" w:fill="E5DFEC"/>
            <w:vAlign w:val="center"/>
          </w:tcPr>
          <w:p w:rsidR="00E94EBA" w:rsidRPr="00B52595" w:rsidRDefault="00E94EBA" w:rsidP="00B4210A">
            <w:pPr>
              <w:spacing w:after="0" w:line="240" w:lineRule="auto"/>
              <w:jc w:val="center"/>
              <w:rPr>
                <w:rFonts w:ascii="Times New Roman" w:hAnsi="Times New Roman"/>
                <w:b/>
                <w:bCs/>
                <w:color w:val="000000"/>
                <w:spacing w:val="-4"/>
                <w:sz w:val="24"/>
                <w:szCs w:val="24"/>
                <w:lang w:eastAsia="sk-SK"/>
              </w:rPr>
            </w:pPr>
            <w:r w:rsidRPr="00B52595">
              <w:rPr>
                <w:rFonts w:ascii="Times New Roman" w:hAnsi="Times New Roman"/>
                <w:b/>
                <w:bCs/>
                <w:color w:val="000000"/>
                <w:spacing w:val="-4"/>
                <w:sz w:val="24"/>
                <w:szCs w:val="24"/>
                <w:lang w:eastAsia="sk-SK"/>
              </w:rPr>
              <w:t>Iné údaje - kód ukazovateľa a názov ukazovateľa</w:t>
            </w:r>
          </w:p>
        </w:tc>
        <w:tc>
          <w:tcPr>
            <w:tcW w:w="1843" w:type="dxa"/>
            <w:vMerge w:val="restart"/>
            <w:tcBorders>
              <w:top w:val="single" w:sz="12" w:space="0" w:color="auto"/>
              <w:left w:val="single" w:sz="12" w:space="0" w:color="auto"/>
              <w:bottom w:val="single" w:sz="12" w:space="0" w:color="auto"/>
              <w:right w:val="single" w:sz="12" w:space="0" w:color="auto"/>
            </w:tcBorders>
            <w:shd w:val="clear" w:color="auto" w:fill="E5DFEC"/>
            <w:vAlign w:val="center"/>
          </w:tcPr>
          <w:p w:rsidR="00E94EBA" w:rsidRPr="00B52595" w:rsidRDefault="00E94EBA" w:rsidP="00B4210A">
            <w:pPr>
              <w:spacing w:after="0" w:line="240" w:lineRule="auto"/>
              <w:jc w:val="center"/>
              <w:rPr>
                <w:rFonts w:ascii="Times New Roman" w:hAnsi="Times New Roman"/>
                <w:b/>
                <w:bCs/>
                <w:color w:val="000000"/>
                <w:spacing w:val="-4"/>
                <w:sz w:val="24"/>
                <w:szCs w:val="24"/>
                <w:lang w:eastAsia="sk-SK"/>
              </w:rPr>
            </w:pPr>
            <w:r w:rsidRPr="00B52595">
              <w:rPr>
                <w:rFonts w:ascii="Times New Roman" w:hAnsi="Times New Roman"/>
                <w:b/>
                <w:bCs/>
                <w:color w:val="000000"/>
                <w:spacing w:val="-4"/>
                <w:sz w:val="24"/>
                <w:szCs w:val="24"/>
                <w:lang w:eastAsia="sk-SK"/>
              </w:rPr>
              <w:t>Merná jednotka</w:t>
            </w:r>
          </w:p>
        </w:tc>
      </w:tr>
      <w:tr w:rsidR="00E94EBA" w:rsidRPr="00B52595" w:rsidTr="00E559E9">
        <w:trPr>
          <w:trHeight w:val="367"/>
        </w:trPr>
        <w:tc>
          <w:tcPr>
            <w:tcW w:w="12015" w:type="dxa"/>
            <w:tcBorders>
              <w:left w:val="single" w:sz="12" w:space="0" w:color="auto"/>
              <w:bottom w:val="single" w:sz="12" w:space="0" w:color="auto"/>
              <w:right w:val="single" w:sz="12" w:space="0" w:color="auto"/>
            </w:tcBorders>
            <w:shd w:val="clear" w:color="auto" w:fill="E5DFEC"/>
            <w:vAlign w:val="center"/>
          </w:tcPr>
          <w:p w:rsidR="00E94EBA" w:rsidRPr="00B52595" w:rsidRDefault="00E94EBA" w:rsidP="00B4210A">
            <w:pPr>
              <w:spacing w:after="0" w:line="240" w:lineRule="auto"/>
              <w:jc w:val="center"/>
              <w:rPr>
                <w:rFonts w:ascii="Times New Roman" w:hAnsi="Times New Roman"/>
                <w:b/>
                <w:bCs/>
                <w:color w:val="000000"/>
                <w:spacing w:val="-4"/>
                <w:sz w:val="24"/>
                <w:szCs w:val="24"/>
                <w:lang w:eastAsia="sk-SK"/>
              </w:rPr>
            </w:pPr>
            <w:r w:rsidRPr="00B52595">
              <w:rPr>
                <w:rFonts w:ascii="Times New Roman" w:hAnsi="Times New Roman"/>
                <w:b/>
                <w:bCs/>
                <w:color w:val="000000"/>
                <w:spacing w:val="-4"/>
                <w:sz w:val="24"/>
                <w:szCs w:val="24"/>
                <w:lang w:eastAsia="sk-SK"/>
              </w:rPr>
              <w:t>Definícia</w:t>
            </w:r>
          </w:p>
        </w:tc>
        <w:tc>
          <w:tcPr>
            <w:tcW w:w="1843" w:type="dxa"/>
            <w:vMerge/>
            <w:tcBorders>
              <w:left w:val="single" w:sz="12" w:space="0" w:color="auto"/>
              <w:bottom w:val="single" w:sz="12" w:space="0" w:color="auto"/>
              <w:right w:val="single" w:sz="12" w:space="0" w:color="auto"/>
            </w:tcBorders>
            <w:shd w:val="clear" w:color="auto" w:fill="E5DFEC"/>
            <w:vAlign w:val="center"/>
          </w:tcPr>
          <w:p w:rsidR="00E94EBA" w:rsidRPr="00B52595" w:rsidRDefault="00E94EBA" w:rsidP="00B4210A">
            <w:pPr>
              <w:spacing w:after="0" w:line="240" w:lineRule="auto"/>
              <w:jc w:val="center"/>
              <w:rPr>
                <w:rFonts w:ascii="Times New Roman" w:hAnsi="Times New Roman"/>
                <w:b/>
                <w:bCs/>
                <w:color w:val="000000"/>
                <w:spacing w:val="-4"/>
                <w:sz w:val="24"/>
                <w:szCs w:val="24"/>
                <w:lang w:eastAsia="sk-SK"/>
              </w:rPr>
            </w:pPr>
          </w:p>
        </w:tc>
      </w:tr>
      <w:tr w:rsidR="00E94EBA" w:rsidRPr="00B52595" w:rsidTr="00E559E9">
        <w:tc>
          <w:tcPr>
            <w:tcW w:w="12015" w:type="dxa"/>
            <w:tcBorders>
              <w:left w:val="single" w:sz="12" w:space="0" w:color="auto"/>
              <w:right w:val="single" w:sz="12" w:space="0" w:color="auto"/>
            </w:tcBorders>
          </w:tcPr>
          <w:p w:rsidR="00E94EBA" w:rsidRPr="00B52595" w:rsidRDefault="00E94EBA" w:rsidP="00B4210A">
            <w:pPr>
              <w:spacing w:after="0" w:line="240" w:lineRule="auto"/>
              <w:rPr>
                <w:rFonts w:ascii="Times New Roman" w:hAnsi="Times New Roman"/>
                <w:b/>
                <w:bCs/>
                <w:color w:val="000000"/>
                <w:sz w:val="24"/>
                <w:szCs w:val="24"/>
                <w:lang w:eastAsia="sk-SK"/>
              </w:rPr>
            </w:pPr>
            <w:r w:rsidRPr="00B52595">
              <w:rPr>
                <w:rFonts w:ascii="Times New Roman" w:hAnsi="Times New Roman"/>
                <w:b/>
                <w:bCs/>
                <w:color w:val="000000"/>
                <w:sz w:val="24"/>
                <w:szCs w:val="24"/>
                <w:lang w:eastAsia="sk-SK"/>
              </w:rPr>
              <w:t>D0164 Počet realizovaných školiacich, vzdelávacích aktivít:</w:t>
            </w:r>
          </w:p>
          <w:p w:rsidR="00E94EBA" w:rsidRPr="00B52595" w:rsidRDefault="00E94EBA" w:rsidP="00B4210A">
            <w:pPr>
              <w:spacing w:after="0" w:line="240" w:lineRule="auto"/>
              <w:rPr>
                <w:rFonts w:ascii="Times New Roman" w:hAnsi="Times New Roman"/>
                <w:bCs/>
                <w:color w:val="000000"/>
                <w:sz w:val="24"/>
                <w:szCs w:val="24"/>
                <w:lang w:eastAsia="sk-SK"/>
              </w:rPr>
            </w:pPr>
            <w:r w:rsidRPr="00B52595">
              <w:rPr>
                <w:rFonts w:ascii="Times New Roman" w:hAnsi="Times New Roman"/>
                <w:bCs/>
                <w:color w:val="000000"/>
                <w:sz w:val="24"/>
                <w:szCs w:val="24"/>
                <w:lang w:eastAsia="sk-SK"/>
              </w:rPr>
              <w:t>Celkový počet vzdelávacích aktivít v rámci realizácie projektu. Vzdelávacou aktivitou sa rozumie školenie, seminár, workshop, odborná stáž zameraná na výmenu skúseností a pod.</w:t>
            </w:r>
          </w:p>
        </w:tc>
        <w:tc>
          <w:tcPr>
            <w:tcW w:w="1843" w:type="dxa"/>
            <w:tcBorders>
              <w:left w:val="single" w:sz="12" w:space="0" w:color="auto"/>
            </w:tcBorders>
            <w:vAlign w:val="center"/>
          </w:tcPr>
          <w:p w:rsidR="00E94EBA" w:rsidRPr="00B52595" w:rsidRDefault="00E94EBA" w:rsidP="00B4210A">
            <w:pPr>
              <w:spacing w:after="0" w:line="240" w:lineRule="auto"/>
              <w:jc w:val="center"/>
              <w:rPr>
                <w:rFonts w:ascii="Times New Roman" w:hAnsi="Times New Roman"/>
                <w:color w:val="000000"/>
                <w:sz w:val="24"/>
                <w:szCs w:val="24"/>
                <w:lang w:eastAsia="sk-SK"/>
              </w:rPr>
            </w:pPr>
            <w:r w:rsidRPr="00B52595">
              <w:rPr>
                <w:rFonts w:ascii="Times New Roman" w:hAnsi="Times New Roman"/>
                <w:color w:val="000000"/>
                <w:sz w:val="24"/>
                <w:szCs w:val="24"/>
                <w:lang w:eastAsia="sk-SK"/>
              </w:rPr>
              <w:t>počet</w:t>
            </w:r>
          </w:p>
        </w:tc>
      </w:tr>
      <w:tr w:rsidR="00E94EBA" w:rsidRPr="00B52595" w:rsidTr="00E559E9">
        <w:tc>
          <w:tcPr>
            <w:tcW w:w="12015" w:type="dxa"/>
            <w:tcBorders>
              <w:left w:val="single" w:sz="12" w:space="0" w:color="auto"/>
              <w:right w:val="single" w:sz="12" w:space="0" w:color="auto"/>
            </w:tcBorders>
          </w:tcPr>
          <w:p w:rsidR="00E94EBA" w:rsidRPr="00B52595" w:rsidRDefault="00E94EBA" w:rsidP="004D03E8">
            <w:pPr>
              <w:spacing w:after="0" w:line="240" w:lineRule="auto"/>
              <w:rPr>
                <w:rFonts w:ascii="Times New Roman" w:hAnsi="Times New Roman"/>
                <w:b/>
                <w:sz w:val="24"/>
              </w:rPr>
            </w:pPr>
            <w:r w:rsidRPr="00B52595">
              <w:rPr>
                <w:rFonts w:ascii="Times New Roman" w:hAnsi="Times New Roman"/>
                <w:b/>
                <w:sz w:val="24"/>
              </w:rPr>
              <w:t>D0128 Počet nástrojov zabezpečujúcich prístupnosť pre osoby so zdravotným postihnutím</w:t>
            </w:r>
          </w:p>
          <w:p w:rsidR="001730E5" w:rsidRPr="00B52595" w:rsidRDefault="001730E5" w:rsidP="001730E5">
            <w:pPr>
              <w:spacing w:after="0" w:line="240" w:lineRule="auto"/>
              <w:jc w:val="both"/>
              <w:rPr>
                <w:rFonts w:ascii="Times New Roman" w:hAnsi="Times New Roman"/>
                <w:bCs/>
                <w:color w:val="000000"/>
                <w:sz w:val="24"/>
                <w:szCs w:val="24"/>
                <w:lang w:eastAsia="sk-SK"/>
              </w:rPr>
            </w:pPr>
            <w:r w:rsidRPr="00B52595">
              <w:rPr>
                <w:rFonts w:ascii="Times New Roman" w:hAnsi="Times New Roman"/>
                <w:bCs/>
                <w:color w:val="000000"/>
                <w:sz w:val="24"/>
                <w:szCs w:val="24"/>
                <w:lang w:eastAsia="sk-SK"/>
              </w:rPr>
              <w:t>Údaj vyjadruje počet nástrojov zabezpečujúcich prístupnosť pre osoby so zdravotným postihnutím a zahŕňa opatrenia, služby alebo zariadenia zamerané na odstraňovanie prekážok a bariér brániacich v prístupnosti osobám so zdravotným postihnutím k výsledkom projektu. Môže ísť o zlepšenie prístupnosti k fyzickému prostrediu, k doprave (napr. nástupište, zdvíhacie plošiny, výťah, oznamovacie a navádzacie systémy a pod.), k informáciám a komunikácii vrátane informačných a komunikačných technológií a systémov, ako aj k ďalším prostriedkom a službám dostupným alebo poskytovaným verejnosti. Ide o prístupnosť najmä v zmysle vyhlášky Ministerstva životného prostredia SR č. 532/2002, ktorou sa ustanovujú podrobnosti o všeobecných technických požiadavkách na výstavbu a o všeobecných technických požiadavkách na stavby užívané osobami s obmedzenou schopnosťou pohybu a orientácie a výnos Ministerstva financií SR č. 55/2014 o štandardoch pre informačné systémy verejnej správy.</w:t>
            </w:r>
          </w:p>
          <w:p w:rsidR="001730E5" w:rsidRPr="00B52595" w:rsidRDefault="001730E5" w:rsidP="001730E5">
            <w:pPr>
              <w:spacing w:after="0" w:line="240" w:lineRule="auto"/>
              <w:jc w:val="both"/>
              <w:rPr>
                <w:rFonts w:ascii="Times New Roman" w:hAnsi="Times New Roman"/>
                <w:b/>
                <w:bCs/>
                <w:color w:val="000000"/>
                <w:sz w:val="24"/>
                <w:szCs w:val="24"/>
                <w:lang w:eastAsia="sk-SK"/>
              </w:rPr>
            </w:pPr>
            <w:r w:rsidRPr="00B52595">
              <w:rPr>
                <w:rFonts w:ascii="Times New Roman" w:hAnsi="Times New Roman"/>
                <w:bCs/>
                <w:color w:val="000000"/>
                <w:sz w:val="24"/>
                <w:szCs w:val="24"/>
                <w:lang w:eastAsia="sk-SK"/>
              </w:rPr>
              <w:t>Osoby so zdravotným postihnutím sú osoby s dlhodobými telesnými, mentálnymi, intelektuálnymi alebo zmyslovými postihnutiami, ktoré v súčinnosti s rôznymi prekážkami môžu brániť ich plnému a účinnému zapojeniu do spoločnosti na rovnakom základe s ostatnými. Osoby so zdravotným postihnutím zahŕňajú všetky osoby so zdravotným postihnutím, najmä však osoby definované v zákone č. 447/2008 Z. z. o peňažných príspevkoch na kompenzáciu ťažkého zdravotného postihnutia (osoba s ťažkým zdravotným postihnutím) alebo v zákone č. 461/2003 Z. z. o sociálnom poistení (osoba, ktorá má zníženú mieru schopnosti vykonávať zárobkovú činnosť).</w:t>
            </w:r>
          </w:p>
        </w:tc>
        <w:tc>
          <w:tcPr>
            <w:tcW w:w="1843" w:type="dxa"/>
            <w:tcBorders>
              <w:left w:val="single" w:sz="12" w:space="0" w:color="auto"/>
            </w:tcBorders>
            <w:vAlign w:val="center"/>
          </w:tcPr>
          <w:p w:rsidR="00E94EBA" w:rsidRPr="00B52595" w:rsidRDefault="00E94EBA" w:rsidP="004D03E8">
            <w:pPr>
              <w:spacing w:after="0" w:line="240" w:lineRule="auto"/>
              <w:jc w:val="center"/>
              <w:rPr>
                <w:rFonts w:ascii="Times New Roman" w:hAnsi="Times New Roman"/>
                <w:color w:val="000000"/>
                <w:sz w:val="24"/>
                <w:szCs w:val="24"/>
                <w:lang w:eastAsia="sk-SK"/>
              </w:rPr>
            </w:pPr>
            <w:r w:rsidRPr="00B52595">
              <w:rPr>
                <w:rFonts w:ascii="Times New Roman" w:hAnsi="Times New Roman"/>
                <w:color w:val="000000"/>
                <w:sz w:val="24"/>
                <w:szCs w:val="24"/>
                <w:lang w:eastAsia="sk-SK"/>
              </w:rPr>
              <w:t>počet</w:t>
            </w:r>
          </w:p>
        </w:tc>
      </w:tr>
      <w:tr w:rsidR="00E94EBA" w:rsidRPr="00B52595" w:rsidTr="00E559E9">
        <w:tc>
          <w:tcPr>
            <w:tcW w:w="12015" w:type="dxa"/>
            <w:tcBorders>
              <w:left w:val="single" w:sz="12" w:space="0" w:color="auto"/>
              <w:right w:val="single" w:sz="12" w:space="0" w:color="auto"/>
            </w:tcBorders>
          </w:tcPr>
          <w:p w:rsidR="00E94EBA" w:rsidRPr="00B52595" w:rsidRDefault="009D3390" w:rsidP="00155378">
            <w:pPr>
              <w:spacing w:after="0" w:line="240" w:lineRule="auto"/>
              <w:jc w:val="both"/>
              <w:rPr>
                <w:rFonts w:ascii="Times New Roman" w:hAnsi="Times New Roman"/>
                <w:b/>
                <w:sz w:val="24"/>
                <w:szCs w:val="24"/>
                <w:lang w:eastAsia="sk-SK"/>
              </w:rPr>
            </w:pPr>
            <w:r w:rsidRPr="00B52595">
              <w:rPr>
                <w:rFonts w:ascii="Times New Roman" w:hAnsi="Times New Roman"/>
                <w:b/>
                <w:sz w:val="24"/>
                <w:szCs w:val="24"/>
              </w:rPr>
              <w:t>D0270</w:t>
            </w:r>
            <w:r w:rsidR="00D1384D" w:rsidRPr="00B52595">
              <w:rPr>
                <w:rFonts w:ascii="Times New Roman" w:hAnsi="Times New Roman"/>
                <w:b/>
                <w:sz w:val="24"/>
                <w:szCs w:val="24"/>
              </w:rPr>
              <w:t xml:space="preserve"> </w:t>
            </w:r>
            <w:r w:rsidR="00D1384D" w:rsidRPr="00B52595">
              <w:rPr>
                <w:rFonts w:ascii="Times New Roman" w:hAnsi="Times New Roman"/>
                <w:b/>
                <w:sz w:val="24"/>
                <w:szCs w:val="24"/>
                <w:lang w:eastAsia="sk-SK"/>
              </w:rPr>
              <w:t>Počet vzdelávacích aktivít projektu zaoberajúcich sa výlučne problematikou nediskriminácie a rovnosti mužov a</w:t>
            </w:r>
            <w:r w:rsidR="00155378" w:rsidRPr="00B52595">
              <w:rPr>
                <w:rFonts w:ascii="Times New Roman" w:hAnsi="Times New Roman"/>
                <w:b/>
                <w:sz w:val="24"/>
                <w:szCs w:val="24"/>
                <w:lang w:eastAsia="sk-SK"/>
              </w:rPr>
              <w:t> </w:t>
            </w:r>
            <w:r w:rsidR="00D1384D" w:rsidRPr="00B52595">
              <w:rPr>
                <w:rFonts w:ascii="Times New Roman" w:hAnsi="Times New Roman"/>
                <w:b/>
                <w:sz w:val="24"/>
                <w:szCs w:val="24"/>
                <w:lang w:eastAsia="sk-SK"/>
              </w:rPr>
              <w:t>žien</w:t>
            </w:r>
          </w:p>
          <w:p w:rsidR="00155378" w:rsidRPr="00B52595" w:rsidRDefault="00155378" w:rsidP="00155378">
            <w:pPr>
              <w:spacing w:after="0" w:line="240" w:lineRule="auto"/>
              <w:jc w:val="both"/>
              <w:rPr>
                <w:rFonts w:ascii="Times New Roman" w:hAnsi="Times New Roman"/>
                <w:sz w:val="24"/>
                <w:szCs w:val="24"/>
              </w:rPr>
            </w:pPr>
            <w:r w:rsidRPr="00B52595">
              <w:rPr>
                <w:rFonts w:ascii="Times New Roman" w:hAnsi="Times New Roman"/>
                <w:sz w:val="24"/>
                <w:szCs w:val="24"/>
              </w:rPr>
              <w:t>Údaj vyjadruje celkový počet vzdelávacích aktivít projektu za sledované obdobie, ktoré sa zaoberali výlučne problematikou nediskriminácie a rovnosti mužov a žien.</w:t>
            </w:r>
          </w:p>
        </w:tc>
        <w:tc>
          <w:tcPr>
            <w:tcW w:w="1843" w:type="dxa"/>
            <w:tcBorders>
              <w:left w:val="single" w:sz="12" w:space="0" w:color="auto"/>
            </w:tcBorders>
            <w:vAlign w:val="center"/>
          </w:tcPr>
          <w:p w:rsidR="00E94EBA" w:rsidRPr="00B52595" w:rsidRDefault="00E94EBA" w:rsidP="004D03E8">
            <w:pPr>
              <w:spacing w:after="0" w:line="240" w:lineRule="auto"/>
              <w:jc w:val="center"/>
              <w:rPr>
                <w:rFonts w:ascii="Times New Roman" w:hAnsi="Times New Roman"/>
                <w:color w:val="000000"/>
                <w:sz w:val="24"/>
                <w:szCs w:val="24"/>
                <w:lang w:eastAsia="sk-SK"/>
              </w:rPr>
            </w:pPr>
            <w:r w:rsidRPr="00B52595">
              <w:rPr>
                <w:rFonts w:ascii="Times New Roman" w:hAnsi="Times New Roman"/>
                <w:color w:val="000000"/>
                <w:sz w:val="24"/>
                <w:szCs w:val="24"/>
                <w:lang w:eastAsia="sk-SK"/>
              </w:rPr>
              <w:t>počet</w:t>
            </w:r>
          </w:p>
        </w:tc>
      </w:tr>
      <w:tr w:rsidR="00D1384D" w:rsidRPr="00B52595" w:rsidTr="00E559E9">
        <w:tc>
          <w:tcPr>
            <w:tcW w:w="12015" w:type="dxa"/>
            <w:tcBorders>
              <w:left w:val="single" w:sz="12" w:space="0" w:color="auto"/>
              <w:right w:val="single" w:sz="12" w:space="0" w:color="auto"/>
            </w:tcBorders>
          </w:tcPr>
          <w:p w:rsidR="00D1384D" w:rsidRPr="00B52595" w:rsidRDefault="00D1384D" w:rsidP="004D03E8">
            <w:pPr>
              <w:spacing w:after="0" w:line="240" w:lineRule="auto"/>
              <w:rPr>
                <w:rFonts w:ascii="Times New Roman" w:hAnsi="Times New Roman"/>
                <w:b/>
                <w:sz w:val="24"/>
                <w:szCs w:val="24"/>
                <w:lang w:eastAsia="sk-SK"/>
              </w:rPr>
            </w:pPr>
            <w:r w:rsidRPr="00B52595">
              <w:rPr>
                <w:rFonts w:ascii="Times New Roman" w:hAnsi="Times New Roman"/>
                <w:b/>
                <w:sz w:val="24"/>
                <w:szCs w:val="24"/>
              </w:rPr>
              <w:t>D</w:t>
            </w:r>
            <w:r w:rsidR="008273C6" w:rsidRPr="00B52595">
              <w:rPr>
                <w:rFonts w:ascii="Times New Roman" w:hAnsi="Times New Roman"/>
                <w:b/>
                <w:sz w:val="24"/>
                <w:szCs w:val="24"/>
              </w:rPr>
              <w:t>0</w:t>
            </w:r>
            <w:r w:rsidRPr="00B52595">
              <w:rPr>
                <w:rFonts w:ascii="Times New Roman" w:hAnsi="Times New Roman"/>
                <w:b/>
                <w:sz w:val="24"/>
                <w:szCs w:val="24"/>
              </w:rPr>
              <w:t xml:space="preserve">271 </w:t>
            </w:r>
            <w:r w:rsidRPr="00B52595">
              <w:rPr>
                <w:rFonts w:ascii="Times New Roman" w:hAnsi="Times New Roman"/>
                <w:b/>
                <w:sz w:val="24"/>
                <w:szCs w:val="24"/>
                <w:lang w:eastAsia="sk-SK"/>
              </w:rPr>
              <w:t xml:space="preserve">Počet vzdelávacích aktivít projektu zaoberajúcich sa aj problematikou nediskriminácie a rovnosti mužov </w:t>
            </w:r>
            <w:r w:rsidRPr="00B52595">
              <w:rPr>
                <w:rFonts w:ascii="Times New Roman" w:hAnsi="Times New Roman"/>
                <w:b/>
                <w:sz w:val="24"/>
                <w:szCs w:val="24"/>
                <w:lang w:eastAsia="sk-SK"/>
              </w:rPr>
              <w:lastRenderedPageBreak/>
              <w:t>a</w:t>
            </w:r>
            <w:r w:rsidR="00155378" w:rsidRPr="00B52595">
              <w:rPr>
                <w:rFonts w:ascii="Times New Roman" w:hAnsi="Times New Roman"/>
                <w:b/>
                <w:sz w:val="24"/>
                <w:szCs w:val="24"/>
                <w:lang w:eastAsia="sk-SK"/>
              </w:rPr>
              <w:t> </w:t>
            </w:r>
            <w:r w:rsidRPr="00B52595">
              <w:rPr>
                <w:rFonts w:ascii="Times New Roman" w:hAnsi="Times New Roman"/>
                <w:b/>
                <w:sz w:val="24"/>
                <w:szCs w:val="24"/>
                <w:lang w:eastAsia="sk-SK"/>
              </w:rPr>
              <w:t>žien</w:t>
            </w:r>
          </w:p>
          <w:p w:rsidR="00155378" w:rsidRPr="00B52595" w:rsidDel="009D3390" w:rsidRDefault="00155378" w:rsidP="00155378">
            <w:pPr>
              <w:spacing w:after="0" w:line="240" w:lineRule="auto"/>
              <w:jc w:val="both"/>
              <w:rPr>
                <w:rFonts w:ascii="Times New Roman" w:hAnsi="Times New Roman"/>
                <w:sz w:val="24"/>
                <w:szCs w:val="24"/>
              </w:rPr>
            </w:pPr>
            <w:r w:rsidRPr="00B52595">
              <w:rPr>
                <w:rFonts w:ascii="Times New Roman" w:hAnsi="Times New Roman"/>
                <w:sz w:val="24"/>
                <w:szCs w:val="24"/>
              </w:rPr>
              <w:t>Údaj vyjadruje celkový počet vzdelávacích aktivít projektu za sledované obdobie, ktoré sa zaoberali aj problematikou nediskriminácie a rovnosti mužov a žien.</w:t>
            </w:r>
          </w:p>
        </w:tc>
        <w:tc>
          <w:tcPr>
            <w:tcW w:w="1843" w:type="dxa"/>
            <w:tcBorders>
              <w:left w:val="single" w:sz="12" w:space="0" w:color="auto"/>
            </w:tcBorders>
            <w:vAlign w:val="center"/>
          </w:tcPr>
          <w:p w:rsidR="00D1384D" w:rsidRPr="00B52595" w:rsidRDefault="00D1384D" w:rsidP="004D03E8">
            <w:pPr>
              <w:spacing w:after="0" w:line="240" w:lineRule="auto"/>
              <w:jc w:val="center"/>
              <w:rPr>
                <w:rFonts w:ascii="Times New Roman" w:hAnsi="Times New Roman"/>
                <w:color w:val="000000"/>
                <w:sz w:val="24"/>
                <w:szCs w:val="24"/>
                <w:lang w:eastAsia="sk-SK"/>
              </w:rPr>
            </w:pPr>
            <w:r w:rsidRPr="00B52595">
              <w:rPr>
                <w:rFonts w:ascii="Times New Roman" w:hAnsi="Times New Roman"/>
                <w:color w:val="000000"/>
                <w:sz w:val="24"/>
                <w:szCs w:val="24"/>
                <w:lang w:eastAsia="sk-SK"/>
              </w:rPr>
              <w:lastRenderedPageBreak/>
              <w:t>počet</w:t>
            </w:r>
          </w:p>
        </w:tc>
      </w:tr>
      <w:tr w:rsidR="00E94EBA" w:rsidRPr="00B52595" w:rsidTr="00E559E9">
        <w:tc>
          <w:tcPr>
            <w:tcW w:w="12015" w:type="dxa"/>
            <w:tcBorders>
              <w:left w:val="single" w:sz="12" w:space="0" w:color="auto"/>
              <w:right w:val="single" w:sz="12" w:space="0" w:color="auto"/>
            </w:tcBorders>
          </w:tcPr>
          <w:p w:rsidR="00E94EBA" w:rsidRPr="00B52595" w:rsidRDefault="00E94EBA" w:rsidP="004D03E8">
            <w:pPr>
              <w:spacing w:after="0" w:line="240" w:lineRule="auto"/>
              <w:rPr>
                <w:rFonts w:ascii="Times New Roman" w:hAnsi="Times New Roman"/>
                <w:b/>
                <w:sz w:val="24"/>
              </w:rPr>
            </w:pPr>
            <w:r w:rsidRPr="00B52595">
              <w:rPr>
                <w:rFonts w:ascii="Times New Roman" w:hAnsi="Times New Roman"/>
                <w:b/>
                <w:sz w:val="24"/>
              </w:rPr>
              <w:lastRenderedPageBreak/>
              <w:t>D0249 Počet pracovníkov, pracovníčok refundovaných z projektu mimo technickej pomoci OP/OP TP</w:t>
            </w:r>
          </w:p>
          <w:p w:rsidR="00155378" w:rsidRPr="00B52595" w:rsidRDefault="00155378" w:rsidP="004D03E8">
            <w:pPr>
              <w:spacing w:after="0" w:line="240" w:lineRule="auto"/>
              <w:rPr>
                <w:rFonts w:ascii="Times New Roman" w:hAnsi="Times New Roman"/>
                <w:sz w:val="24"/>
              </w:rPr>
            </w:pPr>
            <w:r w:rsidRPr="00B52595">
              <w:rPr>
                <w:rFonts w:ascii="Times New Roman" w:hAnsi="Times New Roman"/>
                <w:sz w:val="24"/>
              </w:rPr>
              <w:t>Údaj vyjadruje priemerný ročný počet pracovníkov, pracovníčok, ktorých mzdy sú plne alebo čiastočne refundované v rámci daného projektu a prepočítaný na ekvivalent plného pracovného úväzku (FTE). Údaj zachytáva jednak osoby, ktoré sa podieľajú na riadení a implementácii projektu (napr. projektový manažér, projektová manažérka, účtovníčka, účtovník a pod.), ako aj osoby, ktoré vykonávajú odbornú prácu (napr. terénni sociálni pracovníci, terénne sociálne pracovníčky a pod.). Započítavajú sa osoby, ktoré sú v pracovnom, alebo inom obdobnom pracovno-právnom pomere, SZČO, osoby v slobodnom povolaní. Nezapočítavajú sa osoby, ktoré nevykonávajú kontinuálnu prácu pre projekt alebo v rámci projektu (napr. ad hoc lektori, lektorky, školitelia, školiteľky), osoby v mimopracovnom pomere ani osoby vykonávajúce prácu na základe obchodno-právneho vzťahu (napr. konatelia, konateľky firiem, mandátne zmluvy a pod.).</w:t>
            </w:r>
          </w:p>
        </w:tc>
        <w:tc>
          <w:tcPr>
            <w:tcW w:w="1843" w:type="dxa"/>
            <w:tcBorders>
              <w:left w:val="single" w:sz="12" w:space="0" w:color="auto"/>
            </w:tcBorders>
            <w:vAlign w:val="center"/>
          </w:tcPr>
          <w:p w:rsidR="00E94EBA" w:rsidRPr="00B52595" w:rsidRDefault="00E94EBA" w:rsidP="004D03E8">
            <w:pPr>
              <w:spacing w:after="0" w:line="240" w:lineRule="auto"/>
              <w:jc w:val="center"/>
              <w:rPr>
                <w:rFonts w:ascii="Times New Roman" w:hAnsi="Times New Roman"/>
                <w:color w:val="000000"/>
                <w:sz w:val="24"/>
                <w:szCs w:val="24"/>
                <w:lang w:eastAsia="sk-SK"/>
              </w:rPr>
            </w:pPr>
            <w:r w:rsidRPr="00B52595">
              <w:rPr>
                <w:rFonts w:ascii="Times New Roman" w:hAnsi="Times New Roman"/>
                <w:color w:val="000000"/>
                <w:sz w:val="24"/>
                <w:szCs w:val="24"/>
                <w:lang w:eastAsia="sk-SK"/>
              </w:rPr>
              <w:t>počet</w:t>
            </w:r>
          </w:p>
        </w:tc>
      </w:tr>
      <w:tr w:rsidR="00E94EBA" w:rsidRPr="00B52595" w:rsidTr="00E559E9">
        <w:tc>
          <w:tcPr>
            <w:tcW w:w="12015" w:type="dxa"/>
            <w:tcBorders>
              <w:left w:val="single" w:sz="12" w:space="0" w:color="auto"/>
              <w:right w:val="single" w:sz="12" w:space="0" w:color="auto"/>
            </w:tcBorders>
          </w:tcPr>
          <w:p w:rsidR="00E94EBA" w:rsidRPr="00B52595" w:rsidRDefault="00E94EBA" w:rsidP="004D03E8">
            <w:pPr>
              <w:spacing w:after="0" w:line="240" w:lineRule="auto"/>
              <w:rPr>
                <w:rFonts w:ascii="Times New Roman" w:hAnsi="Times New Roman"/>
                <w:b/>
                <w:sz w:val="24"/>
              </w:rPr>
            </w:pPr>
            <w:r w:rsidRPr="00B52595">
              <w:rPr>
                <w:rFonts w:ascii="Times New Roman" w:hAnsi="Times New Roman"/>
                <w:b/>
                <w:sz w:val="24"/>
              </w:rPr>
              <w:t>D0261 Mzda mužov refundovaná z projektu (priemer)</w:t>
            </w:r>
          </w:p>
          <w:p w:rsidR="00155378" w:rsidRPr="00B52595" w:rsidRDefault="00155378" w:rsidP="00155378">
            <w:pPr>
              <w:spacing w:after="0" w:line="240" w:lineRule="auto"/>
              <w:jc w:val="both"/>
              <w:rPr>
                <w:rFonts w:ascii="Times New Roman" w:hAnsi="Times New Roman"/>
                <w:sz w:val="24"/>
              </w:rPr>
            </w:pPr>
            <w:r w:rsidRPr="00B52595">
              <w:rPr>
                <w:rFonts w:ascii="Times New Roman" w:hAnsi="Times New Roman"/>
                <w:sz w:val="24"/>
              </w:rPr>
              <w:t>Údaj vyjadruje priemernú hrubú mesačnú mzdu mužov refundovanú z projektu. Do údaju sa nezahŕňa mzda osôb, s ktorými bola uzavretá niektorá z dohôd o prácach vykonávanej mimo pracovného pomer, mzda učňov a študentov na prevádzkovej praxi, príjem súkromných podnikateľov (resp. ich spoločníkov), ktorí nemajú uzavretú pracovnú zmluvu v danej organizácii.</w:t>
            </w:r>
          </w:p>
          <w:p w:rsidR="00155378" w:rsidRPr="00B52595" w:rsidRDefault="00155378" w:rsidP="00155378">
            <w:pPr>
              <w:spacing w:after="0" w:line="240" w:lineRule="auto"/>
              <w:jc w:val="both"/>
              <w:rPr>
                <w:rFonts w:ascii="Times New Roman" w:hAnsi="Times New Roman"/>
                <w:b/>
                <w:sz w:val="24"/>
              </w:rPr>
            </w:pPr>
            <w:r w:rsidRPr="00B52595">
              <w:rPr>
                <w:rFonts w:ascii="Times New Roman" w:hAnsi="Times New Roman"/>
                <w:sz w:val="24"/>
              </w:rPr>
              <w:t>Metóda výpočtu na úrovni projektu: Podiel súčtu priemerných mesačných hrubých miezd za všetkých pracovníkov (priemerná mesačná hrubá mzda pracovníka sa vypočíta ako aritmetický priemer mesačných hrubých miezd za odpracované/refundované obdobie), ktorým mzda bola refundovaná počas projektu (čitateľ) a súčtu daných pracovníkov, prepočítaných na FTE (menovateľ).</w:t>
            </w:r>
          </w:p>
        </w:tc>
        <w:tc>
          <w:tcPr>
            <w:tcW w:w="1843" w:type="dxa"/>
            <w:tcBorders>
              <w:left w:val="single" w:sz="12" w:space="0" w:color="auto"/>
            </w:tcBorders>
            <w:vAlign w:val="center"/>
          </w:tcPr>
          <w:p w:rsidR="00E94EBA" w:rsidRPr="00B52595" w:rsidRDefault="00E94EBA" w:rsidP="004D03E8">
            <w:pPr>
              <w:spacing w:after="0" w:line="240" w:lineRule="auto"/>
              <w:jc w:val="center"/>
              <w:rPr>
                <w:rFonts w:ascii="Times New Roman" w:hAnsi="Times New Roman"/>
                <w:color w:val="000000"/>
                <w:sz w:val="24"/>
                <w:szCs w:val="24"/>
                <w:lang w:eastAsia="sk-SK"/>
              </w:rPr>
            </w:pPr>
            <w:r w:rsidRPr="00B52595">
              <w:rPr>
                <w:rFonts w:ascii="Times New Roman" w:hAnsi="Times New Roman"/>
                <w:color w:val="000000"/>
                <w:sz w:val="24"/>
                <w:szCs w:val="24"/>
                <w:lang w:eastAsia="sk-SK"/>
              </w:rPr>
              <w:t>priemer</w:t>
            </w:r>
          </w:p>
        </w:tc>
      </w:tr>
      <w:tr w:rsidR="00E94EBA" w:rsidRPr="00B52595" w:rsidTr="00E559E9">
        <w:tc>
          <w:tcPr>
            <w:tcW w:w="12015" w:type="dxa"/>
            <w:tcBorders>
              <w:left w:val="single" w:sz="12" w:space="0" w:color="auto"/>
              <w:right w:val="single" w:sz="12" w:space="0" w:color="auto"/>
            </w:tcBorders>
          </w:tcPr>
          <w:p w:rsidR="00E94EBA" w:rsidRPr="00B52595" w:rsidRDefault="00E94EBA" w:rsidP="004D03E8">
            <w:pPr>
              <w:spacing w:after="0" w:line="240" w:lineRule="auto"/>
              <w:rPr>
                <w:rFonts w:ascii="Times New Roman" w:hAnsi="Times New Roman"/>
                <w:b/>
                <w:sz w:val="24"/>
              </w:rPr>
            </w:pPr>
            <w:r w:rsidRPr="00B52595">
              <w:rPr>
                <w:rFonts w:ascii="Times New Roman" w:hAnsi="Times New Roman"/>
                <w:b/>
                <w:sz w:val="24"/>
              </w:rPr>
              <w:t>D0262 Mzda mužov refundovaná z projektu (medián)</w:t>
            </w:r>
          </w:p>
          <w:p w:rsidR="00155378" w:rsidRPr="00B52595" w:rsidRDefault="00155378" w:rsidP="00155378">
            <w:pPr>
              <w:spacing w:after="0" w:line="240" w:lineRule="auto"/>
              <w:jc w:val="both"/>
              <w:rPr>
                <w:rFonts w:ascii="Times New Roman" w:hAnsi="Times New Roman"/>
                <w:sz w:val="24"/>
              </w:rPr>
            </w:pPr>
            <w:r w:rsidRPr="00B52595">
              <w:rPr>
                <w:rFonts w:ascii="Times New Roman" w:hAnsi="Times New Roman"/>
                <w:sz w:val="24"/>
              </w:rPr>
              <w:t>Údaj vyjadruje medián (strednú hodnotu) priemerných mesačných miezd mužov, refundovanú z projektu. Do údaju sa nezahŕňa mzda osôb, s ktorými bola uzavretá niektorá z dohôd o prácach vykonávanej mimo pracovného pomeru, mzda učňov a študentov na prevádzkovej praxi, príjem súkromných podnikateľov (resp. ich spoločníkov), ktorí nemajú uzavretú pracovnú zmluvu v danej organizácii.</w:t>
            </w:r>
          </w:p>
          <w:p w:rsidR="00155378" w:rsidRPr="00B52595" w:rsidRDefault="00155378" w:rsidP="00155378">
            <w:pPr>
              <w:spacing w:after="0" w:line="240" w:lineRule="auto"/>
              <w:jc w:val="both"/>
              <w:rPr>
                <w:rFonts w:ascii="Times New Roman" w:hAnsi="Times New Roman"/>
                <w:sz w:val="24"/>
              </w:rPr>
            </w:pPr>
            <w:r w:rsidRPr="00B52595">
              <w:rPr>
                <w:rFonts w:ascii="Times New Roman" w:hAnsi="Times New Roman"/>
                <w:sz w:val="24"/>
              </w:rPr>
              <w:t>Metóda výpočtu na úrovni projektu: Medián priemerných mesačných hrubých miezd za všetkých  pracovníkov (priemerná mesačná hrubá mzda pracovníka sa vypočíta ako aritmetický priemer mesačných hrubých miezd za odpracované/refundované obdobie), ktorým mzda bola refundovaná počas projektu.</w:t>
            </w:r>
          </w:p>
        </w:tc>
        <w:tc>
          <w:tcPr>
            <w:tcW w:w="1843" w:type="dxa"/>
            <w:tcBorders>
              <w:left w:val="single" w:sz="12" w:space="0" w:color="auto"/>
            </w:tcBorders>
            <w:vAlign w:val="center"/>
          </w:tcPr>
          <w:p w:rsidR="00E94EBA" w:rsidRPr="00B52595" w:rsidRDefault="00E94EBA" w:rsidP="004D03E8">
            <w:pPr>
              <w:spacing w:after="0" w:line="240" w:lineRule="auto"/>
              <w:jc w:val="center"/>
              <w:rPr>
                <w:rFonts w:ascii="Times New Roman" w:hAnsi="Times New Roman"/>
                <w:color w:val="000000"/>
                <w:sz w:val="24"/>
                <w:szCs w:val="24"/>
                <w:lang w:eastAsia="sk-SK"/>
              </w:rPr>
            </w:pPr>
            <w:r w:rsidRPr="00B52595">
              <w:rPr>
                <w:rFonts w:ascii="Times New Roman" w:hAnsi="Times New Roman"/>
                <w:color w:val="000000"/>
                <w:sz w:val="24"/>
                <w:szCs w:val="24"/>
                <w:lang w:eastAsia="sk-SK"/>
              </w:rPr>
              <w:t>medián</w:t>
            </w:r>
          </w:p>
        </w:tc>
      </w:tr>
      <w:tr w:rsidR="00E94EBA" w:rsidRPr="00B52595" w:rsidTr="00E559E9">
        <w:tc>
          <w:tcPr>
            <w:tcW w:w="12015" w:type="dxa"/>
            <w:tcBorders>
              <w:left w:val="single" w:sz="12" w:space="0" w:color="auto"/>
              <w:right w:val="single" w:sz="12" w:space="0" w:color="auto"/>
            </w:tcBorders>
          </w:tcPr>
          <w:p w:rsidR="00E94EBA" w:rsidRPr="00B52595" w:rsidRDefault="00E94EBA" w:rsidP="004D03E8">
            <w:pPr>
              <w:spacing w:after="0" w:line="240" w:lineRule="auto"/>
              <w:rPr>
                <w:rFonts w:ascii="Times New Roman" w:hAnsi="Times New Roman"/>
                <w:b/>
                <w:sz w:val="24"/>
              </w:rPr>
            </w:pPr>
            <w:r w:rsidRPr="00B52595">
              <w:rPr>
                <w:rFonts w:ascii="Times New Roman" w:hAnsi="Times New Roman"/>
                <w:b/>
                <w:sz w:val="24"/>
              </w:rPr>
              <w:t>D0263 Mzda žien refundovaná z projektu (priemer)</w:t>
            </w:r>
          </w:p>
          <w:p w:rsidR="00155378" w:rsidRPr="00B52595" w:rsidRDefault="00155378" w:rsidP="00155378">
            <w:pPr>
              <w:spacing w:after="0" w:line="240" w:lineRule="auto"/>
              <w:jc w:val="both"/>
              <w:rPr>
                <w:rFonts w:ascii="Times New Roman" w:hAnsi="Times New Roman"/>
                <w:sz w:val="24"/>
              </w:rPr>
            </w:pPr>
            <w:r w:rsidRPr="00B52595">
              <w:rPr>
                <w:rFonts w:ascii="Times New Roman" w:hAnsi="Times New Roman"/>
                <w:sz w:val="24"/>
              </w:rPr>
              <w:t xml:space="preserve">Údaj vyjadruje priemernú hrubú mesačnú mzdu žien refundovanú z projektu. Do údaju sa nezahŕňa mzda osôb, s ktorými </w:t>
            </w:r>
            <w:r w:rsidRPr="00B52595">
              <w:rPr>
                <w:rFonts w:ascii="Times New Roman" w:hAnsi="Times New Roman"/>
                <w:sz w:val="24"/>
              </w:rPr>
              <w:lastRenderedPageBreak/>
              <w:t>bola uzavretá niektorá z dohôd o prácach vykonávanej mimo pracovného pomer, mzda učníc a študentiek na prevádzkovej praxi, príjem súkromných podnikateliek (resp. ich spoločníkov, spoločníčok), ktoré nemajú uzavretú pracovnú zmluvu v danej organizácii.</w:t>
            </w:r>
          </w:p>
          <w:p w:rsidR="00155378" w:rsidRPr="00B52595" w:rsidRDefault="00155378" w:rsidP="00155378">
            <w:pPr>
              <w:spacing w:after="0" w:line="240" w:lineRule="auto"/>
              <w:jc w:val="both"/>
              <w:rPr>
                <w:rFonts w:ascii="Times New Roman" w:hAnsi="Times New Roman"/>
                <w:b/>
                <w:sz w:val="24"/>
              </w:rPr>
            </w:pPr>
            <w:r w:rsidRPr="00B52595">
              <w:rPr>
                <w:rFonts w:ascii="Times New Roman" w:hAnsi="Times New Roman"/>
                <w:sz w:val="24"/>
              </w:rPr>
              <w:t>Metóda výpočtu na úrovni projektu: Podiel súčtu priemerných mesačných hrubých miezd za všetky pracovníčky (priemerná mesačná hrubá mzda pracovníčky sa vypočíta ako aritmetický priemer mesačných hrubých miezd za odpracované/refundované obdobie), ktorým mzda bola refundovaná počas projektu (čitateľ) a súčtu daných pracovníčok, prepočítaných na FTE (menovateľ).</w:t>
            </w:r>
          </w:p>
        </w:tc>
        <w:tc>
          <w:tcPr>
            <w:tcW w:w="1843" w:type="dxa"/>
            <w:tcBorders>
              <w:left w:val="single" w:sz="12" w:space="0" w:color="auto"/>
            </w:tcBorders>
            <w:vAlign w:val="center"/>
          </w:tcPr>
          <w:p w:rsidR="00E94EBA" w:rsidRPr="00B52595" w:rsidRDefault="00E94EBA" w:rsidP="004D03E8">
            <w:pPr>
              <w:spacing w:after="0" w:line="240" w:lineRule="auto"/>
              <w:jc w:val="center"/>
              <w:rPr>
                <w:rFonts w:ascii="Times New Roman" w:hAnsi="Times New Roman"/>
                <w:color w:val="000000"/>
                <w:sz w:val="24"/>
                <w:szCs w:val="24"/>
                <w:lang w:eastAsia="sk-SK"/>
              </w:rPr>
            </w:pPr>
            <w:r w:rsidRPr="00B52595">
              <w:rPr>
                <w:rFonts w:ascii="Times New Roman" w:hAnsi="Times New Roman"/>
                <w:color w:val="000000"/>
                <w:sz w:val="24"/>
                <w:szCs w:val="24"/>
                <w:lang w:eastAsia="sk-SK"/>
              </w:rPr>
              <w:lastRenderedPageBreak/>
              <w:t>priemer</w:t>
            </w:r>
          </w:p>
        </w:tc>
      </w:tr>
      <w:tr w:rsidR="00E94EBA" w:rsidRPr="00B52595" w:rsidTr="00E559E9">
        <w:tc>
          <w:tcPr>
            <w:tcW w:w="12015" w:type="dxa"/>
            <w:tcBorders>
              <w:left w:val="single" w:sz="12" w:space="0" w:color="auto"/>
              <w:right w:val="single" w:sz="12" w:space="0" w:color="auto"/>
            </w:tcBorders>
          </w:tcPr>
          <w:p w:rsidR="00E94EBA" w:rsidRPr="00B52595" w:rsidRDefault="00E94EBA" w:rsidP="004D03E8">
            <w:pPr>
              <w:spacing w:after="0" w:line="240" w:lineRule="auto"/>
              <w:rPr>
                <w:rFonts w:ascii="Times New Roman" w:hAnsi="Times New Roman"/>
                <w:b/>
                <w:sz w:val="24"/>
              </w:rPr>
            </w:pPr>
            <w:r w:rsidRPr="00B52595">
              <w:rPr>
                <w:rFonts w:ascii="Times New Roman" w:hAnsi="Times New Roman"/>
                <w:b/>
                <w:sz w:val="24"/>
              </w:rPr>
              <w:lastRenderedPageBreak/>
              <w:t>D0264 Mzda žien refundovaná z projektu (medián)</w:t>
            </w:r>
          </w:p>
          <w:p w:rsidR="00155378" w:rsidRPr="00B52595" w:rsidRDefault="00155378" w:rsidP="00155378">
            <w:pPr>
              <w:spacing w:after="0" w:line="240" w:lineRule="auto"/>
              <w:jc w:val="both"/>
              <w:rPr>
                <w:rFonts w:ascii="Times New Roman" w:hAnsi="Times New Roman"/>
                <w:sz w:val="24"/>
              </w:rPr>
            </w:pPr>
            <w:r w:rsidRPr="00B52595">
              <w:rPr>
                <w:rFonts w:ascii="Times New Roman" w:hAnsi="Times New Roman"/>
                <w:sz w:val="24"/>
              </w:rPr>
              <w:t xml:space="preserve">Údaj vyjadruje medián (strednú hodnotu) priemerných mesačných miezd žien, refundovanú z projektu. Do údaju sa nezahŕňa mzda osôb, s ktorými bola uzavretá niektorá z dohôd o prácach vykonávanej mimo pracovného pomeru, mzda učníc a študentiek na prevádzkovej praxi, príjem súkromných podnikateliek (resp. ich spoločníkov, spoločníčok), ktoré nemajú uzavretú pracovnú zmluvu v danej organizácii. </w:t>
            </w:r>
          </w:p>
          <w:p w:rsidR="00155378" w:rsidRPr="00B52595" w:rsidRDefault="00155378" w:rsidP="00155378">
            <w:pPr>
              <w:spacing w:after="0" w:line="240" w:lineRule="auto"/>
              <w:jc w:val="both"/>
              <w:rPr>
                <w:rFonts w:ascii="Times New Roman" w:hAnsi="Times New Roman"/>
                <w:b/>
                <w:sz w:val="24"/>
              </w:rPr>
            </w:pPr>
            <w:r w:rsidRPr="00B52595">
              <w:rPr>
                <w:rFonts w:ascii="Times New Roman" w:hAnsi="Times New Roman"/>
                <w:sz w:val="24"/>
              </w:rPr>
              <w:t>Metóda výpočtu na úrovni projektu: Medián priemerných mesačných hrubých miezd za všetky pracovníčky (priemerná mesačná hrubá mzda pracovníčky sa vypočíta ako aritmetický priemer mesačných hrubých miezd za odpracované/refundované obdobie), ktorým mzda bola refundovaná počas projektu.</w:t>
            </w:r>
          </w:p>
        </w:tc>
        <w:tc>
          <w:tcPr>
            <w:tcW w:w="1843" w:type="dxa"/>
            <w:tcBorders>
              <w:left w:val="single" w:sz="12" w:space="0" w:color="auto"/>
            </w:tcBorders>
            <w:vAlign w:val="center"/>
          </w:tcPr>
          <w:p w:rsidR="00E94EBA" w:rsidRPr="00B52595" w:rsidRDefault="00E94EBA" w:rsidP="004D03E8">
            <w:pPr>
              <w:spacing w:after="0" w:line="240" w:lineRule="auto"/>
              <w:jc w:val="center"/>
              <w:rPr>
                <w:rFonts w:ascii="Times New Roman" w:hAnsi="Times New Roman"/>
                <w:color w:val="000000"/>
                <w:sz w:val="24"/>
                <w:szCs w:val="24"/>
                <w:lang w:eastAsia="sk-SK"/>
              </w:rPr>
            </w:pPr>
            <w:r w:rsidRPr="00B52595">
              <w:rPr>
                <w:rFonts w:ascii="Times New Roman" w:hAnsi="Times New Roman"/>
                <w:color w:val="000000"/>
                <w:sz w:val="24"/>
                <w:szCs w:val="24"/>
                <w:lang w:eastAsia="sk-SK"/>
              </w:rPr>
              <w:t>medián</w:t>
            </w:r>
          </w:p>
        </w:tc>
      </w:tr>
      <w:tr w:rsidR="00E94EBA" w:rsidRPr="00B52595" w:rsidTr="00E559E9">
        <w:tc>
          <w:tcPr>
            <w:tcW w:w="12015" w:type="dxa"/>
            <w:tcBorders>
              <w:left w:val="single" w:sz="12" w:space="0" w:color="auto"/>
              <w:right w:val="single" w:sz="12" w:space="0" w:color="auto"/>
            </w:tcBorders>
          </w:tcPr>
          <w:p w:rsidR="00E94EBA" w:rsidRPr="00B52595" w:rsidRDefault="00E94EBA" w:rsidP="004D03E8">
            <w:pPr>
              <w:spacing w:after="0" w:line="240" w:lineRule="auto"/>
              <w:rPr>
                <w:rFonts w:ascii="Times New Roman" w:hAnsi="Times New Roman"/>
                <w:b/>
                <w:sz w:val="24"/>
              </w:rPr>
            </w:pPr>
            <w:r w:rsidRPr="00B52595">
              <w:rPr>
                <w:rFonts w:ascii="Times New Roman" w:hAnsi="Times New Roman"/>
                <w:b/>
                <w:sz w:val="24"/>
              </w:rPr>
              <w:t>D0266 Podiel žien na riadiacich pozíciách projektu</w:t>
            </w:r>
          </w:p>
          <w:p w:rsidR="00155378" w:rsidRPr="00B52595" w:rsidRDefault="00155378" w:rsidP="00155378">
            <w:pPr>
              <w:spacing w:after="0" w:line="240" w:lineRule="auto"/>
              <w:jc w:val="both"/>
              <w:rPr>
                <w:rFonts w:ascii="Times New Roman" w:hAnsi="Times New Roman"/>
                <w:sz w:val="24"/>
              </w:rPr>
            </w:pPr>
            <w:r w:rsidRPr="00B52595">
              <w:rPr>
                <w:rFonts w:ascii="Times New Roman" w:hAnsi="Times New Roman"/>
                <w:sz w:val="24"/>
              </w:rPr>
              <w:t>Údaj vyjadruje podiel žien na riadiacich pozíciách, zodpovedných za riadenie projektu, alebo časti projektu.</w:t>
            </w:r>
          </w:p>
          <w:p w:rsidR="00155378" w:rsidRPr="00B52595" w:rsidRDefault="00155378" w:rsidP="00155378">
            <w:pPr>
              <w:spacing w:after="0" w:line="240" w:lineRule="auto"/>
              <w:jc w:val="both"/>
              <w:rPr>
                <w:rFonts w:ascii="Times New Roman" w:hAnsi="Times New Roman"/>
                <w:sz w:val="24"/>
              </w:rPr>
            </w:pPr>
            <w:r w:rsidRPr="00B52595">
              <w:rPr>
                <w:rFonts w:ascii="Times New Roman" w:hAnsi="Times New Roman"/>
                <w:sz w:val="24"/>
              </w:rPr>
              <w:t>Za riadiacu pozíciu projektu sa považuje pozícia, z ktorej vyplývajú manažérske a koordinačné úlohy so zodpovednosťou za projekt ako celok, alebo jeho ucelenú čas (zväčša ide o pozície ako projektová manažérka, manažérka projektu, finančná manažérka, líniová manažérka, manažérka technického zabezpečenia projektu a pod.). Započítavajú sa riadiace pozície na projekte jednak za prijímateľa, ako aj partnerov projektu, avšak bez ohľadu na charakter pozície v danej organizácii (osoba, ktorá vykonáva manažérske a koordinačné úlohy v rámci riadenia projektu nemusí mať formálnu riadiacu, alebo vedúcu pozíciu v danej organizácii).</w:t>
            </w:r>
          </w:p>
          <w:p w:rsidR="00155378" w:rsidRPr="00B52595" w:rsidRDefault="00155378" w:rsidP="00155378">
            <w:pPr>
              <w:spacing w:after="0" w:line="240" w:lineRule="auto"/>
              <w:jc w:val="both"/>
              <w:rPr>
                <w:rFonts w:ascii="Times New Roman" w:hAnsi="Times New Roman"/>
                <w:b/>
                <w:sz w:val="24"/>
              </w:rPr>
            </w:pPr>
            <w:r w:rsidRPr="00B52595">
              <w:rPr>
                <w:rFonts w:ascii="Times New Roman" w:hAnsi="Times New Roman"/>
                <w:sz w:val="24"/>
              </w:rPr>
              <w:t>Metóda výpočtu: Podiel súčtu žien v riadiacich pozíciách projektu na celkovom počte osôb v riadiacich pozíciách projektu. Pokiaľ je jedna riadiaca pozícia obsadená 2 osobami na polovičný úväzok, do celkového počtu osôb v riadiacich pozíciách projektu sa započítava hodnota 2.</w:t>
            </w:r>
          </w:p>
        </w:tc>
        <w:tc>
          <w:tcPr>
            <w:tcW w:w="1843" w:type="dxa"/>
            <w:tcBorders>
              <w:left w:val="single" w:sz="12" w:space="0" w:color="auto"/>
            </w:tcBorders>
            <w:vAlign w:val="center"/>
          </w:tcPr>
          <w:p w:rsidR="00E94EBA" w:rsidRPr="00B52595" w:rsidRDefault="00AC76E1" w:rsidP="004D03E8">
            <w:pPr>
              <w:spacing w:after="0" w:line="240" w:lineRule="auto"/>
              <w:jc w:val="center"/>
              <w:rPr>
                <w:rFonts w:ascii="Times New Roman" w:hAnsi="Times New Roman"/>
                <w:color w:val="000000"/>
                <w:sz w:val="24"/>
                <w:szCs w:val="24"/>
                <w:lang w:eastAsia="sk-SK"/>
              </w:rPr>
            </w:pPr>
            <w:r w:rsidRPr="00B52595">
              <w:rPr>
                <w:rFonts w:ascii="Times New Roman" w:hAnsi="Times New Roman"/>
                <w:color w:val="000000"/>
                <w:sz w:val="24"/>
                <w:szCs w:val="24"/>
                <w:lang w:eastAsia="sk-SK"/>
              </w:rPr>
              <w:t>%</w:t>
            </w:r>
          </w:p>
        </w:tc>
      </w:tr>
      <w:tr w:rsidR="00E94EBA" w:rsidRPr="00B52595" w:rsidTr="00E559E9">
        <w:tc>
          <w:tcPr>
            <w:tcW w:w="12015" w:type="dxa"/>
            <w:tcBorders>
              <w:left w:val="single" w:sz="12" w:space="0" w:color="auto"/>
              <w:right w:val="single" w:sz="12" w:space="0" w:color="auto"/>
            </w:tcBorders>
          </w:tcPr>
          <w:p w:rsidR="00E94EBA" w:rsidRPr="00B52595" w:rsidRDefault="00E94EBA" w:rsidP="004D03E8">
            <w:pPr>
              <w:spacing w:after="0" w:line="240" w:lineRule="auto"/>
              <w:rPr>
                <w:rFonts w:ascii="Times New Roman" w:hAnsi="Times New Roman"/>
                <w:b/>
                <w:sz w:val="24"/>
              </w:rPr>
            </w:pPr>
            <w:r w:rsidRPr="00B52595">
              <w:rPr>
                <w:rFonts w:ascii="Times New Roman" w:hAnsi="Times New Roman"/>
                <w:b/>
                <w:sz w:val="24"/>
              </w:rPr>
              <w:t>D0267 Podiel žien na iných ako riadiacich pozíciách projektu</w:t>
            </w:r>
          </w:p>
          <w:p w:rsidR="00155378" w:rsidRPr="00B52595" w:rsidRDefault="00155378" w:rsidP="00155378">
            <w:pPr>
              <w:spacing w:after="0" w:line="240" w:lineRule="auto"/>
              <w:jc w:val="both"/>
              <w:rPr>
                <w:rFonts w:ascii="Times New Roman" w:hAnsi="Times New Roman"/>
                <w:sz w:val="24"/>
              </w:rPr>
            </w:pPr>
            <w:r w:rsidRPr="00B52595">
              <w:rPr>
                <w:rFonts w:ascii="Times New Roman" w:hAnsi="Times New Roman"/>
                <w:sz w:val="24"/>
              </w:rPr>
              <w:t>Údaj vyjadruje podiel žien na iných než riadiacich, radových pozíciách projektu, ktoré nezodpovedajú za riadenie žiadnej časti projektu ani jeho celku. Započítavajú sa radové projektové pracovné pozície za prijímateľa aj partnerov projektu, však bez ohľadu na charakter pozície v danej organizácii (osoba v danej organizácii môže mať formálne riadiace alebo vedúce postavenie, avšak v rámci projektu vykonáva iné než riadiace úlohy projektu).</w:t>
            </w:r>
          </w:p>
          <w:p w:rsidR="00155378" w:rsidRPr="00B52595" w:rsidRDefault="00155378" w:rsidP="00155378">
            <w:pPr>
              <w:spacing w:after="0" w:line="240" w:lineRule="auto"/>
              <w:jc w:val="both"/>
              <w:rPr>
                <w:rFonts w:ascii="Times New Roman" w:hAnsi="Times New Roman"/>
                <w:b/>
                <w:sz w:val="24"/>
              </w:rPr>
            </w:pPr>
            <w:r w:rsidRPr="00B52595">
              <w:rPr>
                <w:rFonts w:ascii="Times New Roman" w:hAnsi="Times New Roman"/>
                <w:sz w:val="24"/>
              </w:rPr>
              <w:lastRenderedPageBreak/>
              <w:t>Metóda výpočtu: Podiel súčtu žien v radových pozíciách projektu na celkovom počte osôb v radových pozíciách projektu. Pokiaľ je jedna pracovná pozícia obsadená 2 osobami na polovičný úväzok, do celkového počtu osôb v radových pozíciách projektu sa započítava hodnota 2.</w:t>
            </w:r>
          </w:p>
        </w:tc>
        <w:tc>
          <w:tcPr>
            <w:tcW w:w="1843" w:type="dxa"/>
            <w:tcBorders>
              <w:left w:val="single" w:sz="12" w:space="0" w:color="auto"/>
            </w:tcBorders>
            <w:vAlign w:val="center"/>
          </w:tcPr>
          <w:p w:rsidR="00E94EBA" w:rsidRPr="00B52595" w:rsidRDefault="00AC76E1" w:rsidP="004D03E8">
            <w:pPr>
              <w:spacing w:after="0" w:line="240" w:lineRule="auto"/>
              <w:jc w:val="center"/>
              <w:rPr>
                <w:rFonts w:ascii="Times New Roman" w:hAnsi="Times New Roman"/>
                <w:color w:val="000000"/>
                <w:sz w:val="24"/>
                <w:szCs w:val="24"/>
                <w:lang w:eastAsia="sk-SK"/>
              </w:rPr>
            </w:pPr>
            <w:r w:rsidRPr="00B52595">
              <w:rPr>
                <w:rFonts w:ascii="Times New Roman" w:hAnsi="Times New Roman"/>
                <w:color w:val="000000"/>
                <w:sz w:val="24"/>
                <w:szCs w:val="24"/>
                <w:lang w:eastAsia="sk-SK"/>
              </w:rPr>
              <w:lastRenderedPageBreak/>
              <w:t>%</w:t>
            </w:r>
          </w:p>
        </w:tc>
      </w:tr>
      <w:tr w:rsidR="00E94EBA" w:rsidRPr="00B52595" w:rsidTr="00E559E9">
        <w:tc>
          <w:tcPr>
            <w:tcW w:w="12015" w:type="dxa"/>
            <w:tcBorders>
              <w:left w:val="single" w:sz="12" w:space="0" w:color="auto"/>
              <w:right w:val="single" w:sz="12" w:space="0" w:color="auto"/>
            </w:tcBorders>
          </w:tcPr>
          <w:p w:rsidR="00E94EBA" w:rsidRPr="00B52595" w:rsidRDefault="00E94EBA" w:rsidP="004D03E8">
            <w:pPr>
              <w:spacing w:after="0" w:line="240" w:lineRule="auto"/>
              <w:rPr>
                <w:rFonts w:ascii="Times New Roman" w:hAnsi="Times New Roman"/>
                <w:b/>
                <w:sz w:val="24"/>
              </w:rPr>
            </w:pPr>
            <w:r w:rsidRPr="00B52595">
              <w:rPr>
                <w:rFonts w:ascii="Times New Roman" w:hAnsi="Times New Roman"/>
                <w:b/>
                <w:sz w:val="24"/>
              </w:rPr>
              <w:lastRenderedPageBreak/>
              <w:t>D0268 Počet absolventov vzdelávacích aktivít projektu</w:t>
            </w:r>
          </w:p>
          <w:p w:rsidR="00155378" w:rsidRPr="00B52595" w:rsidRDefault="00155378" w:rsidP="004D03E8">
            <w:pPr>
              <w:spacing w:after="0" w:line="240" w:lineRule="auto"/>
              <w:rPr>
                <w:rFonts w:ascii="Times New Roman" w:hAnsi="Times New Roman"/>
                <w:sz w:val="24"/>
              </w:rPr>
            </w:pPr>
            <w:r w:rsidRPr="00B52595">
              <w:rPr>
                <w:rFonts w:ascii="Times New Roman" w:hAnsi="Times New Roman"/>
                <w:sz w:val="24"/>
              </w:rPr>
              <w:t>Údaj vyjadruje celkový počet absolventov, absolventiek vzdelávacích aktivít projektu za sledované obdobie.</w:t>
            </w:r>
          </w:p>
        </w:tc>
        <w:tc>
          <w:tcPr>
            <w:tcW w:w="1843" w:type="dxa"/>
            <w:tcBorders>
              <w:left w:val="single" w:sz="12" w:space="0" w:color="auto"/>
            </w:tcBorders>
            <w:vAlign w:val="center"/>
          </w:tcPr>
          <w:p w:rsidR="00E94EBA" w:rsidRPr="00B52595" w:rsidRDefault="00E94EBA" w:rsidP="004D03E8">
            <w:pPr>
              <w:spacing w:after="0" w:line="240" w:lineRule="auto"/>
              <w:jc w:val="center"/>
              <w:rPr>
                <w:rFonts w:ascii="Times New Roman" w:hAnsi="Times New Roman"/>
                <w:color w:val="000000"/>
                <w:sz w:val="24"/>
                <w:szCs w:val="24"/>
                <w:lang w:eastAsia="sk-SK"/>
              </w:rPr>
            </w:pPr>
            <w:r w:rsidRPr="00B52595">
              <w:rPr>
                <w:rFonts w:ascii="Times New Roman" w:hAnsi="Times New Roman"/>
                <w:color w:val="000000"/>
                <w:sz w:val="24"/>
                <w:szCs w:val="24"/>
                <w:lang w:eastAsia="sk-SK"/>
              </w:rPr>
              <w:t>počet</w:t>
            </w:r>
          </w:p>
        </w:tc>
      </w:tr>
      <w:tr w:rsidR="00E94EBA" w:rsidRPr="00B52595" w:rsidTr="00E559E9">
        <w:tc>
          <w:tcPr>
            <w:tcW w:w="12015" w:type="dxa"/>
            <w:tcBorders>
              <w:left w:val="single" w:sz="12" w:space="0" w:color="auto"/>
              <w:right w:val="single" w:sz="12" w:space="0" w:color="auto"/>
            </w:tcBorders>
          </w:tcPr>
          <w:p w:rsidR="00E94EBA" w:rsidRPr="00B52595" w:rsidRDefault="00E94EBA" w:rsidP="004D03E8">
            <w:pPr>
              <w:spacing w:after="0" w:line="240" w:lineRule="auto"/>
              <w:rPr>
                <w:rFonts w:ascii="Times New Roman" w:hAnsi="Times New Roman"/>
                <w:b/>
                <w:sz w:val="24"/>
              </w:rPr>
            </w:pPr>
            <w:r w:rsidRPr="00B52595">
              <w:rPr>
                <w:rFonts w:ascii="Times New Roman" w:hAnsi="Times New Roman"/>
                <w:b/>
                <w:sz w:val="24"/>
              </w:rPr>
              <w:t>D0269 Počet absolventov vzdelávacích aktivít projektu zo znevýhodnených skupín</w:t>
            </w:r>
          </w:p>
          <w:p w:rsidR="00155378" w:rsidRPr="00B52595" w:rsidRDefault="00155378" w:rsidP="00155378">
            <w:pPr>
              <w:spacing w:after="0" w:line="240" w:lineRule="auto"/>
              <w:jc w:val="both"/>
              <w:rPr>
                <w:rFonts w:ascii="Times New Roman" w:hAnsi="Times New Roman"/>
                <w:sz w:val="24"/>
              </w:rPr>
            </w:pPr>
            <w:r w:rsidRPr="00B52595">
              <w:rPr>
                <w:rFonts w:ascii="Times New Roman" w:hAnsi="Times New Roman"/>
                <w:sz w:val="24"/>
              </w:rPr>
              <w:t>Údaj vyjadruje celkový počet absolventov, absolventiek vzdelávacích aktivít z cieľových znevýhodnených skupín za sledované obdobie. Započítavajú sa len absolventi, absolventky, ktorí sú príslušníkmi nasledovných skupín obyvateľov – ženy, osoby so zdravotným postihnutím, osoby mladšie ako 25 rokov, osoby staršie 54 rokov, osoby patriace k etnickej rasovej alebo národnostnej menšine, osoby dlhodobo nezamestnané, príslušníci tretích krajín.</w:t>
            </w:r>
          </w:p>
        </w:tc>
        <w:tc>
          <w:tcPr>
            <w:tcW w:w="1843" w:type="dxa"/>
            <w:tcBorders>
              <w:left w:val="single" w:sz="12" w:space="0" w:color="auto"/>
            </w:tcBorders>
            <w:vAlign w:val="center"/>
          </w:tcPr>
          <w:p w:rsidR="00E94EBA" w:rsidRPr="00B52595" w:rsidRDefault="00E94EBA" w:rsidP="004D03E8">
            <w:pPr>
              <w:spacing w:after="0" w:line="240" w:lineRule="auto"/>
              <w:jc w:val="center"/>
              <w:rPr>
                <w:rFonts w:ascii="Times New Roman" w:hAnsi="Times New Roman"/>
                <w:color w:val="000000"/>
                <w:sz w:val="24"/>
                <w:szCs w:val="24"/>
                <w:lang w:eastAsia="sk-SK"/>
              </w:rPr>
            </w:pPr>
            <w:r w:rsidRPr="00B52595">
              <w:rPr>
                <w:rFonts w:ascii="Times New Roman" w:hAnsi="Times New Roman"/>
                <w:color w:val="000000"/>
                <w:sz w:val="24"/>
                <w:szCs w:val="24"/>
                <w:lang w:eastAsia="sk-SK"/>
              </w:rPr>
              <w:t>počet</w:t>
            </w:r>
          </w:p>
        </w:tc>
      </w:tr>
    </w:tbl>
    <w:p w:rsidR="00851B74" w:rsidRPr="00B52595" w:rsidRDefault="00851B74" w:rsidP="0029576C">
      <w:pPr>
        <w:spacing w:after="0" w:line="240" w:lineRule="auto"/>
        <w:jc w:val="both"/>
        <w:rPr>
          <w:rFonts w:ascii="Times New Roman" w:hAnsi="Times New Roman"/>
          <w:bCs/>
          <w:sz w:val="24"/>
          <w:szCs w:val="24"/>
          <w:lang w:eastAsia="sk-SK"/>
        </w:rPr>
      </w:pPr>
    </w:p>
    <w:p w:rsidR="00851B74" w:rsidRPr="00B52595" w:rsidRDefault="00851B74" w:rsidP="0029576C">
      <w:pPr>
        <w:spacing w:after="0" w:line="240" w:lineRule="auto"/>
        <w:jc w:val="both"/>
        <w:rPr>
          <w:rFonts w:ascii="Times New Roman" w:hAnsi="Times New Roman"/>
          <w:bCs/>
          <w:sz w:val="24"/>
          <w:szCs w:val="24"/>
          <w:lang w:eastAsia="sk-SK"/>
        </w:rPr>
      </w:pPr>
    </w:p>
    <w:sectPr w:rsidR="00851B74" w:rsidRPr="00B52595" w:rsidSect="00921CBC">
      <w:headerReference w:type="default" r:id="rId9"/>
      <w:footerReference w:type="default" r:id="rId10"/>
      <w:pgSz w:w="16838" w:h="11906" w:orient="landscape"/>
      <w:pgMar w:top="1417" w:right="1417" w:bottom="1417" w:left="1417" w:header="708" w:footer="708"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991" w:rsidRDefault="00271991" w:rsidP="001C146B">
      <w:pPr>
        <w:spacing w:after="0" w:line="240" w:lineRule="auto"/>
      </w:pPr>
      <w:r>
        <w:separator/>
      </w:r>
    </w:p>
  </w:endnote>
  <w:endnote w:type="continuationSeparator" w:id="0">
    <w:p w:rsidR="00271991" w:rsidRDefault="00271991" w:rsidP="001C14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CBC" w:rsidRPr="00BA4CEC" w:rsidRDefault="00921CBC">
    <w:pPr>
      <w:pStyle w:val="Pta"/>
      <w:jc w:val="right"/>
      <w:rPr>
        <w:sz w:val="18"/>
        <w:szCs w:val="18"/>
      </w:rPr>
    </w:pPr>
    <w:r w:rsidRPr="00BA4CEC">
      <w:rPr>
        <w:sz w:val="18"/>
        <w:szCs w:val="18"/>
      </w:rPr>
      <w:t xml:space="preserve">Strana </w:t>
    </w:r>
    <w:r w:rsidRPr="00BA4CEC">
      <w:rPr>
        <w:bCs/>
        <w:sz w:val="18"/>
        <w:szCs w:val="18"/>
      </w:rPr>
      <w:fldChar w:fldCharType="begin"/>
    </w:r>
    <w:r w:rsidRPr="00BA4CEC">
      <w:rPr>
        <w:bCs/>
        <w:sz w:val="18"/>
        <w:szCs w:val="18"/>
      </w:rPr>
      <w:instrText xml:space="preserve"> PAGE  \* Arabic </w:instrText>
    </w:r>
    <w:r w:rsidRPr="00BA4CEC">
      <w:rPr>
        <w:bCs/>
        <w:sz w:val="18"/>
        <w:szCs w:val="18"/>
      </w:rPr>
      <w:fldChar w:fldCharType="separate"/>
    </w:r>
    <w:r w:rsidR="002017E7">
      <w:rPr>
        <w:bCs/>
        <w:noProof/>
        <w:sz w:val="18"/>
        <w:szCs w:val="18"/>
      </w:rPr>
      <w:t>1</w:t>
    </w:r>
    <w:r w:rsidRPr="00BA4CEC">
      <w:rPr>
        <w:bCs/>
        <w:sz w:val="18"/>
        <w:szCs w:val="18"/>
      </w:rPr>
      <w:fldChar w:fldCharType="end"/>
    </w:r>
    <w:r w:rsidRPr="00BA4CEC">
      <w:rPr>
        <w:sz w:val="18"/>
        <w:szCs w:val="18"/>
      </w:rPr>
      <w:t xml:space="preserve"> z </w:t>
    </w:r>
    <w:r w:rsidRPr="00BA4CEC">
      <w:rPr>
        <w:bCs/>
        <w:sz w:val="18"/>
        <w:szCs w:val="18"/>
      </w:rPr>
      <w:fldChar w:fldCharType="begin"/>
    </w:r>
    <w:r w:rsidRPr="00BA4CEC">
      <w:rPr>
        <w:bCs/>
        <w:sz w:val="18"/>
        <w:szCs w:val="18"/>
      </w:rPr>
      <w:instrText>NUMPAGES</w:instrText>
    </w:r>
    <w:r w:rsidRPr="00BA4CEC">
      <w:rPr>
        <w:bCs/>
        <w:sz w:val="18"/>
        <w:szCs w:val="18"/>
      </w:rPr>
      <w:fldChar w:fldCharType="separate"/>
    </w:r>
    <w:r w:rsidR="002017E7">
      <w:rPr>
        <w:bCs/>
        <w:noProof/>
        <w:sz w:val="18"/>
        <w:szCs w:val="18"/>
      </w:rPr>
      <w:t>5</w:t>
    </w:r>
    <w:r w:rsidRPr="00BA4CEC">
      <w:rPr>
        <w:bCs/>
        <w:sz w:val="18"/>
        <w:szCs w:val="18"/>
      </w:rPr>
      <w:fldChar w:fldCharType="end"/>
    </w:r>
  </w:p>
  <w:p w:rsidR="00921CBC" w:rsidRDefault="00921CBC" w:rsidP="00921CBC">
    <w:pPr>
      <w:pStyle w:val="Pt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991" w:rsidRDefault="00271991" w:rsidP="001C146B">
      <w:pPr>
        <w:spacing w:after="0" w:line="240" w:lineRule="auto"/>
      </w:pPr>
      <w:r>
        <w:separator/>
      </w:r>
    </w:p>
  </w:footnote>
  <w:footnote w:type="continuationSeparator" w:id="0">
    <w:p w:rsidR="00271991" w:rsidRDefault="00271991" w:rsidP="001C14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46B" w:rsidRPr="001C146B" w:rsidRDefault="002017E7" w:rsidP="001C146B">
    <w:pPr>
      <w:pStyle w:val="Hlavika"/>
      <w:tabs>
        <w:tab w:val="clear" w:pos="4536"/>
      </w:tabs>
      <w:jc w:val="center"/>
      <w:rPr>
        <w:rFonts w:ascii="Times New Roman" w:hAnsi="Times New Roman"/>
        <w:sz w:val="24"/>
        <w:szCs w:val="24"/>
      </w:rPr>
    </w:pPr>
    <w:r>
      <w:rPr>
        <w:noProof/>
        <w:lang w:eastAsia="sk-SK"/>
      </w:rPr>
      <mc:AlternateContent>
        <mc:Choice Requires="wps">
          <w:drawing>
            <wp:anchor distT="0" distB="0" distL="114300" distR="114300" simplePos="0" relativeHeight="251659264" behindDoc="0" locked="0" layoutInCell="1" allowOverlap="1">
              <wp:simplePos x="0" y="0"/>
              <wp:positionH relativeFrom="column">
                <wp:posOffset>-80645</wp:posOffset>
              </wp:positionH>
              <wp:positionV relativeFrom="paragraph">
                <wp:posOffset>561975</wp:posOffset>
              </wp:positionV>
              <wp:extent cx="6115050" cy="9525"/>
              <wp:effectExtent l="0" t="0" r="19050" b="28575"/>
              <wp:wrapNone/>
              <wp:docPr id="1" name="Rovná spojovacia šípk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0" cy="9525"/>
                      </a:xfrm>
                      <a:prstGeom prst="straightConnector1">
                        <a:avLst/>
                      </a:prstGeom>
                      <a:noFill/>
                      <a:ln w="9525">
                        <a:solidFill>
                          <a:srgbClr val="FBD4B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Rovná spojovacia šípka 2" o:spid="_x0000_s1026" type="#_x0000_t32" style="position:absolute;margin-left:-6.35pt;margin-top:44.25pt;width:481.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" strokecolor="#fbd4b4"/>
          </w:pict>
        </mc:Fallback>
      </mc:AlternateContent>
    </w:r>
    <w:r>
      <w:rPr>
        <w:noProof/>
        <w:lang w:eastAsia="sk-SK"/>
      </w:rPr>
      <w:drawing>
        <wp:inline distT="0" distB="0" distL="0" distR="0">
          <wp:extent cx="5741670" cy="382905"/>
          <wp:effectExtent l="0" t="0" r="0" b="0"/>
          <wp:docPr id="2"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1670" cy="38290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A833617"/>
    <w:multiLevelType w:val="hybridMultilevel"/>
    <w:tmpl w:val="7DD444E1"/>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F3C808B0"/>
    <w:multiLevelType w:val="hybridMultilevel"/>
    <w:tmpl w:val="5D304BE0"/>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3DEE2344"/>
    <w:multiLevelType w:val="hybridMultilevel"/>
    <w:tmpl w:val="DA1A91B8"/>
    <w:lvl w:ilvl="0" w:tplc="C33ED592">
      <w:start w:val="2"/>
      <w:numFmt w:val="bullet"/>
      <w:lvlText w:val="-"/>
      <w:lvlJc w:val="left"/>
      <w:pPr>
        <w:ind w:left="720" w:hanging="360"/>
      </w:pPr>
      <w:rPr>
        <w:rFonts w:ascii="Calibri" w:eastAsia="Times New Roman" w:hAnsi="Calibri"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55C11791"/>
    <w:multiLevelType w:val="hybridMultilevel"/>
    <w:tmpl w:val="9C468FF4"/>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nsid w:val="5CDF3197"/>
    <w:multiLevelType w:val="hybridMultilevel"/>
    <w:tmpl w:val="B0F095E8"/>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nsid w:val="6B3F11A9"/>
    <w:multiLevelType w:val="hybridMultilevel"/>
    <w:tmpl w:val="0F42C0CC"/>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nsid w:val="71C7392E"/>
    <w:multiLevelType w:val="hybridMultilevel"/>
    <w:tmpl w:val="D6C01992"/>
    <w:lvl w:ilvl="0" w:tplc="041B000F">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nsid w:val="7BEC4E22"/>
    <w:multiLevelType w:val="hybridMultilevel"/>
    <w:tmpl w:val="659A1A14"/>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2"/>
  </w:num>
  <w:num w:numId="2">
    <w:abstractNumId w:val="3"/>
  </w:num>
  <w:num w:numId="3">
    <w:abstractNumId w:val="7"/>
  </w:num>
  <w:num w:numId="4">
    <w:abstractNumId w:val="1"/>
  </w:num>
  <w:num w:numId="5">
    <w:abstractNumId w:val="0"/>
  </w:num>
  <w:num w:numId="6">
    <w:abstractNumId w:val="5"/>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BEE"/>
    <w:rsid w:val="00003429"/>
    <w:rsid w:val="00006225"/>
    <w:rsid w:val="00022532"/>
    <w:rsid w:val="00034DD6"/>
    <w:rsid w:val="0009340B"/>
    <w:rsid w:val="000C10CC"/>
    <w:rsid w:val="000C3663"/>
    <w:rsid w:val="000D6EF1"/>
    <w:rsid w:val="000E2456"/>
    <w:rsid w:val="00104E16"/>
    <w:rsid w:val="00114CCC"/>
    <w:rsid w:val="00124B9F"/>
    <w:rsid w:val="001450D2"/>
    <w:rsid w:val="00155378"/>
    <w:rsid w:val="001730E5"/>
    <w:rsid w:val="001732CF"/>
    <w:rsid w:val="00180399"/>
    <w:rsid w:val="0019768E"/>
    <w:rsid w:val="001A0939"/>
    <w:rsid w:val="001A73F5"/>
    <w:rsid w:val="001C0F68"/>
    <w:rsid w:val="001C146B"/>
    <w:rsid w:val="001C5E83"/>
    <w:rsid w:val="002017E7"/>
    <w:rsid w:val="0022141D"/>
    <w:rsid w:val="00271991"/>
    <w:rsid w:val="00280847"/>
    <w:rsid w:val="00282AF8"/>
    <w:rsid w:val="0029576C"/>
    <w:rsid w:val="002B14B8"/>
    <w:rsid w:val="002D0E58"/>
    <w:rsid w:val="00301988"/>
    <w:rsid w:val="003525EB"/>
    <w:rsid w:val="003A1C29"/>
    <w:rsid w:val="003B6ECC"/>
    <w:rsid w:val="003E1361"/>
    <w:rsid w:val="003E7EB3"/>
    <w:rsid w:val="0043544D"/>
    <w:rsid w:val="00451D01"/>
    <w:rsid w:val="00457939"/>
    <w:rsid w:val="00460485"/>
    <w:rsid w:val="00466977"/>
    <w:rsid w:val="004D03E8"/>
    <w:rsid w:val="004D68C7"/>
    <w:rsid w:val="00525A17"/>
    <w:rsid w:val="00526615"/>
    <w:rsid w:val="00540AA7"/>
    <w:rsid w:val="005566A7"/>
    <w:rsid w:val="00587E60"/>
    <w:rsid w:val="005B3617"/>
    <w:rsid w:val="005C2593"/>
    <w:rsid w:val="005E77E1"/>
    <w:rsid w:val="005F5BE0"/>
    <w:rsid w:val="006118EC"/>
    <w:rsid w:val="006132F1"/>
    <w:rsid w:val="00615AF7"/>
    <w:rsid w:val="00631759"/>
    <w:rsid w:val="006407C9"/>
    <w:rsid w:val="006652E9"/>
    <w:rsid w:val="0067799B"/>
    <w:rsid w:val="006846C5"/>
    <w:rsid w:val="006974E1"/>
    <w:rsid w:val="006B596F"/>
    <w:rsid w:val="006C080D"/>
    <w:rsid w:val="00701CDA"/>
    <w:rsid w:val="00722091"/>
    <w:rsid w:val="00734D8B"/>
    <w:rsid w:val="007F028B"/>
    <w:rsid w:val="00801DE3"/>
    <w:rsid w:val="00807FB5"/>
    <w:rsid w:val="008273C6"/>
    <w:rsid w:val="00827A73"/>
    <w:rsid w:val="00842B5E"/>
    <w:rsid w:val="00851B74"/>
    <w:rsid w:val="00871C6A"/>
    <w:rsid w:val="0088037B"/>
    <w:rsid w:val="0088060A"/>
    <w:rsid w:val="008D0570"/>
    <w:rsid w:val="008E1ADB"/>
    <w:rsid w:val="008E3AF5"/>
    <w:rsid w:val="008E7801"/>
    <w:rsid w:val="00921CBC"/>
    <w:rsid w:val="0097610D"/>
    <w:rsid w:val="009962D9"/>
    <w:rsid w:val="009D1737"/>
    <w:rsid w:val="009D3390"/>
    <w:rsid w:val="009D49EE"/>
    <w:rsid w:val="009D753B"/>
    <w:rsid w:val="009F6684"/>
    <w:rsid w:val="00A02903"/>
    <w:rsid w:val="00A24753"/>
    <w:rsid w:val="00A33FE7"/>
    <w:rsid w:val="00A62051"/>
    <w:rsid w:val="00A93C23"/>
    <w:rsid w:val="00A96B76"/>
    <w:rsid w:val="00AC0FAB"/>
    <w:rsid w:val="00AC76E1"/>
    <w:rsid w:val="00AD3B80"/>
    <w:rsid w:val="00AF3666"/>
    <w:rsid w:val="00B260D6"/>
    <w:rsid w:val="00B27640"/>
    <w:rsid w:val="00B27C51"/>
    <w:rsid w:val="00B4210A"/>
    <w:rsid w:val="00B52595"/>
    <w:rsid w:val="00B52A5F"/>
    <w:rsid w:val="00B57D38"/>
    <w:rsid w:val="00B63A5F"/>
    <w:rsid w:val="00B72E8E"/>
    <w:rsid w:val="00BA4CEC"/>
    <w:rsid w:val="00BA7A86"/>
    <w:rsid w:val="00BE69DA"/>
    <w:rsid w:val="00BF5B5A"/>
    <w:rsid w:val="00C02A6D"/>
    <w:rsid w:val="00C2190A"/>
    <w:rsid w:val="00C31411"/>
    <w:rsid w:val="00C66124"/>
    <w:rsid w:val="00C72754"/>
    <w:rsid w:val="00C947ED"/>
    <w:rsid w:val="00CA6E04"/>
    <w:rsid w:val="00CB1BD8"/>
    <w:rsid w:val="00CB20E5"/>
    <w:rsid w:val="00D1384D"/>
    <w:rsid w:val="00D20573"/>
    <w:rsid w:val="00D255DD"/>
    <w:rsid w:val="00D54F8C"/>
    <w:rsid w:val="00D6623F"/>
    <w:rsid w:val="00D700D2"/>
    <w:rsid w:val="00D87260"/>
    <w:rsid w:val="00DB48EC"/>
    <w:rsid w:val="00DF09CE"/>
    <w:rsid w:val="00E27BEE"/>
    <w:rsid w:val="00E46024"/>
    <w:rsid w:val="00E50183"/>
    <w:rsid w:val="00E559E9"/>
    <w:rsid w:val="00E61914"/>
    <w:rsid w:val="00E70811"/>
    <w:rsid w:val="00E85796"/>
    <w:rsid w:val="00E911BB"/>
    <w:rsid w:val="00E94C10"/>
    <w:rsid w:val="00E94EBA"/>
    <w:rsid w:val="00F15642"/>
    <w:rsid w:val="00F55AF9"/>
    <w:rsid w:val="00F81EA1"/>
    <w:rsid w:val="00F84F98"/>
    <w:rsid w:val="00FA59DD"/>
    <w:rsid w:val="00FD556F"/>
    <w:rsid w:val="00FF48A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pPr>
      <w:spacing w:after="200" w:line="276" w:lineRule="auto"/>
    </w:pPr>
    <w:rPr>
      <w:rFonts w:cs="Times New Roman"/>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rsid w:val="00AC0FAB"/>
    <w:pPr>
      <w:tabs>
        <w:tab w:val="center" w:pos="4536"/>
        <w:tab w:val="right" w:pos="9072"/>
      </w:tabs>
      <w:spacing w:after="160" w:line="259" w:lineRule="auto"/>
    </w:pPr>
  </w:style>
  <w:style w:type="character" w:customStyle="1" w:styleId="HlavikaChar">
    <w:name w:val="Hlavička Char"/>
    <w:basedOn w:val="Predvolenpsmoodseku"/>
    <w:link w:val="Hlavika"/>
    <w:uiPriority w:val="99"/>
    <w:locked/>
    <w:rsid w:val="00AC0FAB"/>
    <w:rPr>
      <w:rFonts w:ascii="Calibri" w:hAnsi="Calibri" w:cs="Times New Roman"/>
    </w:rPr>
  </w:style>
  <w:style w:type="paragraph" w:styleId="Odsekzoznamu">
    <w:name w:val="List Paragraph"/>
    <w:basedOn w:val="Normlny"/>
    <w:uiPriority w:val="34"/>
    <w:qFormat/>
    <w:rsid w:val="00114CCC"/>
    <w:pPr>
      <w:ind w:left="720"/>
      <w:contextualSpacing/>
    </w:pPr>
  </w:style>
  <w:style w:type="paragraph" w:customStyle="1" w:styleId="Default">
    <w:name w:val="Default"/>
    <w:rsid w:val="00CB1BD8"/>
    <w:pPr>
      <w:autoSpaceDE w:val="0"/>
      <w:autoSpaceDN w:val="0"/>
      <w:adjustRightInd w:val="0"/>
    </w:pPr>
    <w:rPr>
      <w:rFonts w:ascii="Times New Roman" w:hAnsi="Times New Roman" w:cs="Times New Roman"/>
      <w:color w:val="000000"/>
      <w:sz w:val="24"/>
      <w:szCs w:val="24"/>
      <w:lang w:eastAsia="en-US"/>
    </w:rPr>
  </w:style>
  <w:style w:type="table" w:styleId="Mriekatabuky">
    <w:name w:val="Table Grid"/>
    <w:basedOn w:val="Normlnatabuka"/>
    <w:uiPriority w:val="59"/>
    <w:rsid w:val="00A62051"/>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kaznakomentr">
    <w:name w:val="annotation reference"/>
    <w:basedOn w:val="Predvolenpsmoodseku"/>
    <w:uiPriority w:val="99"/>
    <w:semiHidden/>
    <w:unhideWhenUsed/>
    <w:rsid w:val="00D20573"/>
    <w:rPr>
      <w:rFonts w:cs="Times New Roman"/>
      <w:sz w:val="16"/>
    </w:rPr>
  </w:style>
  <w:style w:type="paragraph" w:styleId="Textkomentra">
    <w:name w:val="annotation text"/>
    <w:basedOn w:val="Normlny"/>
    <w:link w:val="TextkomentraChar"/>
    <w:uiPriority w:val="99"/>
    <w:semiHidden/>
    <w:unhideWhenUsed/>
    <w:rsid w:val="00D20573"/>
    <w:pPr>
      <w:spacing w:line="240" w:lineRule="auto"/>
    </w:pPr>
    <w:rPr>
      <w:sz w:val="20"/>
      <w:szCs w:val="20"/>
    </w:rPr>
  </w:style>
  <w:style w:type="character" w:customStyle="1" w:styleId="TextkomentraChar">
    <w:name w:val="Text komentára Char"/>
    <w:basedOn w:val="Predvolenpsmoodseku"/>
    <w:link w:val="Textkomentra"/>
    <w:uiPriority w:val="99"/>
    <w:semiHidden/>
    <w:locked/>
    <w:rsid w:val="00D20573"/>
    <w:rPr>
      <w:rFonts w:cs="Times New Roman"/>
      <w:sz w:val="20"/>
    </w:rPr>
  </w:style>
  <w:style w:type="paragraph" w:styleId="Predmetkomentra">
    <w:name w:val="annotation subject"/>
    <w:basedOn w:val="Textkomentra"/>
    <w:next w:val="Textkomentra"/>
    <w:link w:val="PredmetkomentraChar"/>
    <w:uiPriority w:val="99"/>
    <w:semiHidden/>
    <w:unhideWhenUsed/>
    <w:rsid w:val="00D20573"/>
    <w:rPr>
      <w:b/>
      <w:bCs/>
    </w:rPr>
  </w:style>
  <w:style w:type="character" w:customStyle="1" w:styleId="PredmetkomentraChar">
    <w:name w:val="Predmet komentára Char"/>
    <w:basedOn w:val="TextkomentraChar"/>
    <w:link w:val="Predmetkomentra"/>
    <w:uiPriority w:val="99"/>
    <w:semiHidden/>
    <w:locked/>
    <w:rsid w:val="00D20573"/>
    <w:rPr>
      <w:rFonts w:cs="Times New Roman"/>
      <w:b/>
      <w:sz w:val="20"/>
    </w:rPr>
  </w:style>
  <w:style w:type="paragraph" w:styleId="Textbubliny">
    <w:name w:val="Balloon Text"/>
    <w:basedOn w:val="Normlny"/>
    <w:link w:val="TextbublinyChar"/>
    <w:uiPriority w:val="99"/>
    <w:semiHidden/>
    <w:unhideWhenUsed/>
    <w:rsid w:val="00D2057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D20573"/>
    <w:rPr>
      <w:rFonts w:ascii="Tahoma" w:hAnsi="Tahoma" w:cs="Times New Roman"/>
      <w:sz w:val="16"/>
    </w:rPr>
  </w:style>
  <w:style w:type="paragraph" w:styleId="Pta">
    <w:name w:val="footer"/>
    <w:basedOn w:val="Normlny"/>
    <w:link w:val="PtaChar"/>
    <w:uiPriority w:val="99"/>
    <w:unhideWhenUsed/>
    <w:rsid w:val="001C146B"/>
    <w:pPr>
      <w:tabs>
        <w:tab w:val="center" w:pos="4536"/>
        <w:tab w:val="right" w:pos="9072"/>
      </w:tabs>
    </w:pPr>
  </w:style>
  <w:style w:type="character" w:customStyle="1" w:styleId="PtaChar">
    <w:name w:val="Päta Char"/>
    <w:basedOn w:val="Predvolenpsmoodseku"/>
    <w:link w:val="Pta"/>
    <w:uiPriority w:val="99"/>
    <w:locked/>
    <w:rsid w:val="001C146B"/>
    <w:rPr>
      <w:rFonts w:cs="Times New Roman"/>
      <w:sz w:val="22"/>
      <w:lang w:val="x-none" w:eastAsia="en-US"/>
    </w:rPr>
  </w:style>
  <w:style w:type="paragraph" w:styleId="Textpoznmkypodiarou">
    <w:name w:val="footnote text"/>
    <w:basedOn w:val="Normlny"/>
    <w:link w:val="TextpoznmkypodiarouChar"/>
    <w:uiPriority w:val="99"/>
    <w:semiHidden/>
    <w:unhideWhenUsed/>
    <w:rsid w:val="001A73F5"/>
    <w:rPr>
      <w:sz w:val="20"/>
      <w:szCs w:val="20"/>
    </w:rPr>
  </w:style>
  <w:style w:type="character" w:customStyle="1" w:styleId="TextpoznmkypodiarouChar">
    <w:name w:val="Text poznámky pod čiarou Char"/>
    <w:basedOn w:val="Predvolenpsmoodseku"/>
    <w:link w:val="Textpoznmkypodiarou"/>
    <w:uiPriority w:val="99"/>
    <w:semiHidden/>
    <w:locked/>
    <w:rsid w:val="001A73F5"/>
    <w:rPr>
      <w:rFonts w:cs="Times New Roman"/>
      <w:lang w:val="x-none" w:eastAsia="en-US"/>
    </w:rPr>
  </w:style>
  <w:style w:type="character" w:styleId="Odkaznapoznmkupodiarou">
    <w:name w:val="footnote reference"/>
    <w:basedOn w:val="Predvolenpsmoodseku"/>
    <w:uiPriority w:val="99"/>
    <w:semiHidden/>
    <w:unhideWhenUsed/>
    <w:rsid w:val="001A73F5"/>
    <w:rPr>
      <w:rFonts w:cs="Times New Roman"/>
      <w:vertAlign w:val="superscript"/>
    </w:rPr>
  </w:style>
  <w:style w:type="paragraph" w:styleId="Zkladntext">
    <w:name w:val="Body Text"/>
    <w:basedOn w:val="Normlny"/>
    <w:link w:val="ZkladntextChar"/>
    <w:uiPriority w:val="99"/>
    <w:qFormat/>
    <w:rsid w:val="001730E5"/>
    <w:pPr>
      <w:spacing w:before="130" w:after="130" w:line="240" w:lineRule="auto"/>
      <w:jc w:val="both"/>
    </w:pPr>
    <w:rPr>
      <w:rFonts w:ascii="Times New Roman" w:hAnsi="Times New Roman"/>
      <w:szCs w:val="20"/>
      <w:lang w:val="en-US"/>
    </w:rPr>
  </w:style>
  <w:style w:type="character" w:customStyle="1" w:styleId="ZkladntextChar">
    <w:name w:val="Základný text Char"/>
    <w:basedOn w:val="Predvolenpsmoodseku"/>
    <w:link w:val="Zkladntext"/>
    <w:uiPriority w:val="99"/>
    <w:locked/>
    <w:rsid w:val="001730E5"/>
    <w:rPr>
      <w:rFonts w:ascii="Times New Roman" w:hAnsi="Times New Roman" w:cs="Times New Roman"/>
      <w:sz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pPr>
      <w:spacing w:after="200" w:line="276" w:lineRule="auto"/>
    </w:pPr>
    <w:rPr>
      <w:rFonts w:cs="Times New Roman"/>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rsid w:val="00AC0FAB"/>
    <w:pPr>
      <w:tabs>
        <w:tab w:val="center" w:pos="4536"/>
        <w:tab w:val="right" w:pos="9072"/>
      </w:tabs>
      <w:spacing w:after="160" w:line="259" w:lineRule="auto"/>
    </w:pPr>
  </w:style>
  <w:style w:type="character" w:customStyle="1" w:styleId="HlavikaChar">
    <w:name w:val="Hlavička Char"/>
    <w:basedOn w:val="Predvolenpsmoodseku"/>
    <w:link w:val="Hlavika"/>
    <w:uiPriority w:val="99"/>
    <w:locked/>
    <w:rsid w:val="00AC0FAB"/>
    <w:rPr>
      <w:rFonts w:ascii="Calibri" w:hAnsi="Calibri" w:cs="Times New Roman"/>
    </w:rPr>
  </w:style>
  <w:style w:type="paragraph" w:styleId="Odsekzoznamu">
    <w:name w:val="List Paragraph"/>
    <w:basedOn w:val="Normlny"/>
    <w:uiPriority w:val="34"/>
    <w:qFormat/>
    <w:rsid w:val="00114CCC"/>
    <w:pPr>
      <w:ind w:left="720"/>
      <w:contextualSpacing/>
    </w:pPr>
  </w:style>
  <w:style w:type="paragraph" w:customStyle="1" w:styleId="Default">
    <w:name w:val="Default"/>
    <w:rsid w:val="00CB1BD8"/>
    <w:pPr>
      <w:autoSpaceDE w:val="0"/>
      <w:autoSpaceDN w:val="0"/>
      <w:adjustRightInd w:val="0"/>
    </w:pPr>
    <w:rPr>
      <w:rFonts w:ascii="Times New Roman" w:hAnsi="Times New Roman" w:cs="Times New Roman"/>
      <w:color w:val="000000"/>
      <w:sz w:val="24"/>
      <w:szCs w:val="24"/>
      <w:lang w:eastAsia="en-US"/>
    </w:rPr>
  </w:style>
  <w:style w:type="table" w:styleId="Mriekatabuky">
    <w:name w:val="Table Grid"/>
    <w:basedOn w:val="Normlnatabuka"/>
    <w:uiPriority w:val="59"/>
    <w:rsid w:val="00A62051"/>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kaznakomentr">
    <w:name w:val="annotation reference"/>
    <w:basedOn w:val="Predvolenpsmoodseku"/>
    <w:uiPriority w:val="99"/>
    <w:semiHidden/>
    <w:unhideWhenUsed/>
    <w:rsid w:val="00D20573"/>
    <w:rPr>
      <w:rFonts w:cs="Times New Roman"/>
      <w:sz w:val="16"/>
    </w:rPr>
  </w:style>
  <w:style w:type="paragraph" w:styleId="Textkomentra">
    <w:name w:val="annotation text"/>
    <w:basedOn w:val="Normlny"/>
    <w:link w:val="TextkomentraChar"/>
    <w:uiPriority w:val="99"/>
    <w:semiHidden/>
    <w:unhideWhenUsed/>
    <w:rsid w:val="00D20573"/>
    <w:pPr>
      <w:spacing w:line="240" w:lineRule="auto"/>
    </w:pPr>
    <w:rPr>
      <w:sz w:val="20"/>
      <w:szCs w:val="20"/>
    </w:rPr>
  </w:style>
  <w:style w:type="character" w:customStyle="1" w:styleId="TextkomentraChar">
    <w:name w:val="Text komentára Char"/>
    <w:basedOn w:val="Predvolenpsmoodseku"/>
    <w:link w:val="Textkomentra"/>
    <w:uiPriority w:val="99"/>
    <w:semiHidden/>
    <w:locked/>
    <w:rsid w:val="00D20573"/>
    <w:rPr>
      <w:rFonts w:cs="Times New Roman"/>
      <w:sz w:val="20"/>
    </w:rPr>
  </w:style>
  <w:style w:type="paragraph" w:styleId="Predmetkomentra">
    <w:name w:val="annotation subject"/>
    <w:basedOn w:val="Textkomentra"/>
    <w:next w:val="Textkomentra"/>
    <w:link w:val="PredmetkomentraChar"/>
    <w:uiPriority w:val="99"/>
    <w:semiHidden/>
    <w:unhideWhenUsed/>
    <w:rsid w:val="00D20573"/>
    <w:rPr>
      <w:b/>
      <w:bCs/>
    </w:rPr>
  </w:style>
  <w:style w:type="character" w:customStyle="1" w:styleId="PredmetkomentraChar">
    <w:name w:val="Predmet komentára Char"/>
    <w:basedOn w:val="TextkomentraChar"/>
    <w:link w:val="Predmetkomentra"/>
    <w:uiPriority w:val="99"/>
    <w:semiHidden/>
    <w:locked/>
    <w:rsid w:val="00D20573"/>
    <w:rPr>
      <w:rFonts w:cs="Times New Roman"/>
      <w:b/>
      <w:sz w:val="20"/>
    </w:rPr>
  </w:style>
  <w:style w:type="paragraph" w:styleId="Textbubliny">
    <w:name w:val="Balloon Text"/>
    <w:basedOn w:val="Normlny"/>
    <w:link w:val="TextbublinyChar"/>
    <w:uiPriority w:val="99"/>
    <w:semiHidden/>
    <w:unhideWhenUsed/>
    <w:rsid w:val="00D2057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D20573"/>
    <w:rPr>
      <w:rFonts w:ascii="Tahoma" w:hAnsi="Tahoma" w:cs="Times New Roman"/>
      <w:sz w:val="16"/>
    </w:rPr>
  </w:style>
  <w:style w:type="paragraph" w:styleId="Pta">
    <w:name w:val="footer"/>
    <w:basedOn w:val="Normlny"/>
    <w:link w:val="PtaChar"/>
    <w:uiPriority w:val="99"/>
    <w:unhideWhenUsed/>
    <w:rsid w:val="001C146B"/>
    <w:pPr>
      <w:tabs>
        <w:tab w:val="center" w:pos="4536"/>
        <w:tab w:val="right" w:pos="9072"/>
      </w:tabs>
    </w:pPr>
  </w:style>
  <w:style w:type="character" w:customStyle="1" w:styleId="PtaChar">
    <w:name w:val="Päta Char"/>
    <w:basedOn w:val="Predvolenpsmoodseku"/>
    <w:link w:val="Pta"/>
    <w:uiPriority w:val="99"/>
    <w:locked/>
    <w:rsid w:val="001C146B"/>
    <w:rPr>
      <w:rFonts w:cs="Times New Roman"/>
      <w:sz w:val="22"/>
      <w:lang w:val="x-none" w:eastAsia="en-US"/>
    </w:rPr>
  </w:style>
  <w:style w:type="paragraph" w:styleId="Textpoznmkypodiarou">
    <w:name w:val="footnote text"/>
    <w:basedOn w:val="Normlny"/>
    <w:link w:val="TextpoznmkypodiarouChar"/>
    <w:uiPriority w:val="99"/>
    <w:semiHidden/>
    <w:unhideWhenUsed/>
    <w:rsid w:val="001A73F5"/>
    <w:rPr>
      <w:sz w:val="20"/>
      <w:szCs w:val="20"/>
    </w:rPr>
  </w:style>
  <w:style w:type="character" w:customStyle="1" w:styleId="TextpoznmkypodiarouChar">
    <w:name w:val="Text poznámky pod čiarou Char"/>
    <w:basedOn w:val="Predvolenpsmoodseku"/>
    <w:link w:val="Textpoznmkypodiarou"/>
    <w:uiPriority w:val="99"/>
    <w:semiHidden/>
    <w:locked/>
    <w:rsid w:val="001A73F5"/>
    <w:rPr>
      <w:rFonts w:cs="Times New Roman"/>
      <w:lang w:val="x-none" w:eastAsia="en-US"/>
    </w:rPr>
  </w:style>
  <w:style w:type="character" w:styleId="Odkaznapoznmkupodiarou">
    <w:name w:val="footnote reference"/>
    <w:basedOn w:val="Predvolenpsmoodseku"/>
    <w:uiPriority w:val="99"/>
    <w:semiHidden/>
    <w:unhideWhenUsed/>
    <w:rsid w:val="001A73F5"/>
    <w:rPr>
      <w:rFonts w:cs="Times New Roman"/>
      <w:vertAlign w:val="superscript"/>
    </w:rPr>
  </w:style>
  <w:style w:type="paragraph" w:styleId="Zkladntext">
    <w:name w:val="Body Text"/>
    <w:basedOn w:val="Normlny"/>
    <w:link w:val="ZkladntextChar"/>
    <w:uiPriority w:val="99"/>
    <w:qFormat/>
    <w:rsid w:val="001730E5"/>
    <w:pPr>
      <w:spacing w:before="130" w:after="130" w:line="240" w:lineRule="auto"/>
      <w:jc w:val="both"/>
    </w:pPr>
    <w:rPr>
      <w:rFonts w:ascii="Times New Roman" w:hAnsi="Times New Roman"/>
      <w:szCs w:val="20"/>
      <w:lang w:val="en-US"/>
    </w:rPr>
  </w:style>
  <w:style w:type="character" w:customStyle="1" w:styleId="ZkladntextChar">
    <w:name w:val="Základný text Char"/>
    <w:basedOn w:val="Predvolenpsmoodseku"/>
    <w:link w:val="Zkladntext"/>
    <w:uiPriority w:val="99"/>
    <w:locked/>
    <w:rsid w:val="001730E5"/>
    <w:rPr>
      <w:rFonts w:ascii="Times New Roman" w:hAnsi="Times New Roman" w:cs="Times New Roman"/>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745056">
      <w:marLeft w:val="0"/>
      <w:marRight w:val="0"/>
      <w:marTop w:val="0"/>
      <w:marBottom w:val="0"/>
      <w:divBdr>
        <w:top w:val="none" w:sz="0" w:space="0" w:color="auto"/>
        <w:left w:val="none" w:sz="0" w:space="0" w:color="auto"/>
        <w:bottom w:val="none" w:sz="0" w:space="0" w:color="auto"/>
        <w:right w:val="none" w:sz="0" w:space="0" w:color="auto"/>
      </w:divBdr>
    </w:div>
    <w:div w:id="841745057">
      <w:marLeft w:val="0"/>
      <w:marRight w:val="0"/>
      <w:marTop w:val="0"/>
      <w:marBottom w:val="0"/>
      <w:divBdr>
        <w:top w:val="none" w:sz="0" w:space="0" w:color="auto"/>
        <w:left w:val="none" w:sz="0" w:space="0" w:color="auto"/>
        <w:bottom w:val="none" w:sz="0" w:space="0" w:color="auto"/>
        <w:right w:val="none" w:sz="0" w:space="0" w:color="auto"/>
      </w:divBdr>
    </w:div>
    <w:div w:id="841745058">
      <w:marLeft w:val="0"/>
      <w:marRight w:val="0"/>
      <w:marTop w:val="0"/>
      <w:marBottom w:val="0"/>
      <w:divBdr>
        <w:top w:val="none" w:sz="0" w:space="0" w:color="auto"/>
        <w:left w:val="none" w:sz="0" w:space="0" w:color="auto"/>
        <w:bottom w:val="none" w:sz="0" w:space="0" w:color="auto"/>
        <w:right w:val="none" w:sz="0" w:space="0" w:color="auto"/>
      </w:divBdr>
    </w:div>
    <w:div w:id="841745059">
      <w:marLeft w:val="0"/>
      <w:marRight w:val="0"/>
      <w:marTop w:val="0"/>
      <w:marBottom w:val="0"/>
      <w:divBdr>
        <w:top w:val="none" w:sz="0" w:space="0" w:color="auto"/>
        <w:left w:val="none" w:sz="0" w:space="0" w:color="auto"/>
        <w:bottom w:val="none" w:sz="0" w:space="0" w:color="auto"/>
        <w:right w:val="none" w:sz="0" w:space="0" w:color="auto"/>
      </w:divBdr>
    </w:div>
    <w:div w:id="841745060">
      <w:marLeft w:val="0"/>
      <w:marRight w:val="0"/>
      <w:marTop w:val="0"/>
      <w:marBottom w:val="0"/>
      <w:divBdr>
        <w:top w:val="none" w:sz="0" w:space="0" w:color="auto"/>
        <w:left w:val="none" w:sz="0" w:space="0" w:color="auto"/>
        <w:bottom w:val="none" w:sz="0" w:space="0" w:color="auto"/>
        <w:right w:val="none" w:sz="0" w:space="0" w:color="auto"/>
      </w:divBdr>
    </w:div>
    <w:div w:id="841745061">
      <w:marLeft w:val="0"/>
      <w:marRight w:val="0"/>
      <w:marTop w:val="0"/>
      <w:marBottom w:val="0"/>
      <w:divBdr>
        <w:top w:val="none" w:sz="0" w:space="0" w:color="auto"/>
        <w:left w:val="none" w:sz="0" w:space="0" w:color="auto"/>
        <w:bottom w:val="none" w:sz="0" w:space="0" w:color="auto"/>
        <w:right w:val="none" w:sz="0" w:space="0" w:color="auto"/>
      </w:divBdr>
    </w:div>
    <w:div w:id="841745062">
      <w:marLeft w:val="0"/>
      <w:marRight w:val="0"/>
      <w:marTop w:val="0"/>
      <w:marBottom w:val="0"/>
      <w:divBdr>
        <w:top w:val="none" w:sz="0" w:space="0" w:color="auto"/>
        <w:left w:val="none" w:sz="0" w:space="0" w:color="auto"/>
        <w:bottom w:val="none" w:sz="0" w:space="0" w:color="auto"/>
        <w:right w:val="none" w:sz="0" w:space="0" w:color="auto"/>
      </w:divBdr>
    </w:div>
    <w:div w:id="84174506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D79E8-ABE6-45B9-85FA-BDE5BAD08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1620</Words>
  <Characters>9239</Characters>
  <Application>Microsoft Office Word</Application>
  <DocSecurity>0</DocSecurity>
  <Lines>76</Lines>
  <Paragraphs>21</Paragraphs>
  <ScaleCrop>false</ScaleCrop>
  <HeadingPairs>
    <vt:vector size="2" baseType="variant">
      <vt:variant>
        <vt:lpstr>Názov</vt:lpstr>
      </vt:variant>
      <vt:variant>
        <vt:i4>1</vt:i4>
      </vt:variant>
    </vt:vector>
  </HeadingPairs>
  <TitlesOfParts>
    <vt:vector size="1" baseType="lpstr">
      <vt:lpstr/>
    </vt:vector>
  </TitlesOfParts>
  <Company>Fond socialneho rozvoja</Company>
  <LinksUpToDate>false</LinksUpToDate>
  <CharactersWithSpaces>10838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Predajnianska Beata</dc:creator>
  <cp:lastModifiedBy>Vaneková Jana</cp:lastModifiedBy>
  <cp:revision>2</cp:revision>
  <cp:lastPrinted>2017-11-20T09:38:00Z</cp:lastPrinted>
  <dcterms:created xsi:type="dcterms:W3CDTF">2018-02-23T09:20:00Z</dcterms:created>
  <dcterms:modified xsi:type="dcterms:W3CDTF">2018-02-23T09:20:00Z</dcterms:modified>
</cp:coreProperties>
</file>